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8CFB1" w14:textId="3E29FF5E" w:rsidR="0011468B" w:rsidRPr="00D26FA1" w:rsidRDefault="00D26FA1" w:rsidP="00B53BEB">
      <w:pPr>
        <w:tabs>
          <w:tab w:val="center" w:pos="4536"/>
          <w:tab w:val="right" w:pos="8280"/>
          <w:tab w:val="right" w:pos="9639"/>
        </w:tabs>
        <w:spacing w:after="0" w:line="276" w:lineRule="auto"/>
        <w:ind w:right="2"/>
        <w:rPr>
          <w:rFonts w:ascii="Arial" w:hAnsi="Arial" w:cs="Arial"/>
          <w:b/>
          <w:bCs/>
          <w:sz w:val="28"/>
          <w:szCs w:val="28"/>
        </w:rPr>
      </w:pPr>
      <w:r w:rsidRPr="00D26FA1">
        <w:rPr>
          <w:rFonts w:ascii="Arial" w:hAnsi="Arial" w:cs="Arial"/>
          <w:b/>
          <w:bCs/>
          <w:sz w:val="28"/>
          <w:szCs w:val="28"/>
        </w:rPr>
        <w:t>3GPP TSG RAN WG1 Meeting #9</w:t>
      </w:r>
      <w:r w:rsidR="008051CC">
        <w:rPr>
          <w:rFonts w:ascii="Arial" w:hAnsi="Arial" w:cs="Arial"/>
          <w:b/>
          <w:bCs/>
          <w:sz w:val="28"/>
          <w:szCs w:val="28"/>
        </w:rPr>
        <w:t>5</w:t>
      </w:r>
      <w:r w:rsidRPr="00D26FA1">
        <w:rPr>
          <w:rFonts w:ascii="Arial" w:hAnsi="Arial" w:cs="Arial"/>
          <w:b/>
          <w:bCs/>
          <w:sz w:val="28"/>
          <w:szCs w:val="28"/>
        </w:rPr>
        <w:t xml:space="preserve">               </w:t>
      </w:r>
      <w:r w:rsidR="00B53BEB" w:rsidRPr="00D26FA1">
        <w:rPr>
          <w:rFonts w:ascii="Arial" w:hAnsi="Arial" w:cs="Arial"/>
          <w:b/>
          <w:bCs/>
          <w:sz w:val="28"/>
          <w:szCs w:val="28"/>
        </w:rPr>
        <w:t xml:space="preserve">            </w:t>
      </w:r>
      <w:r w:rsidR="00B21514" w:rsidRPr="00D26FA1">
        <w:rPr>
          <w:rFonts w:ascii="Arial" w:hAnsi="Arial" w:cs="Arial"/>
          <w:b/>
          <w:bCs/>
          <w:sz w:val="28"/>
          <w:szCs w:val="28"/>
        </w:rPr>
        <w:tab/>
      </w:r>
      <w:r w:rsidR="00B53BEB" w:rsidRPr="00D26FA1">
        <w:rPr>
          <w:rFonts w:ascii="Arial" w:hAnsi="Arial" w:cs="Arial"/>
          <w:b/>
          <w:bCs/>
          <w:sz w:val="28"/>
          <w:szCs w:val="28"/>
        </w:rPr>
        <w:t xml:space="preserve">             </w:t>
      </w:r>
      <w:r w:rsidRPr="00D26FA1">
        <w:rPr>
          <w:rFonts w:ascii="Arial" w:hAnsi="Arial" w:cs="Arial"/>
          <w:b/>
          <w:bCs/>
          <w:sz w:val="28"/>
          <w:szCs w:val="28"/>
        </w:rPr>
        <w:t>R1-18</w:t>
      </w:r>
      <w:r w:rsidR="00270A7F">
        <w:rPr>
          <w:rFonts w:ascii="Arial" w:hAnsi="Arial" w:cs="Arial"/>
          <w:b/>
          <w:bCs/>
          <w:sz w:val="28"/>
          <w:szCs w:val="28"/>
        </w:rPr>
        <w:t>12705</w:t>
      </w:r>
    </w:p>
    <w:p w14:paraId="39A66AF3" w14:textId="5AEC6451" w:rsidR="00D26FA1" w:rsidRPr="00D26FA1" w:rsidRDefault="008051CC" w:rsidP="00D26FA1">
      <w:pPr>
        <w:pStyle w:val="Header"/>
        <w:rPr>
          <w:rFonts w:cs="Arial"/>
          <w:bCs/>
          <w:sz w:val="28"/>
          <w:szCs w:val="28"/>
        </w:rPr>
      </w:pPr>
      <w:r>
        <w:rPr>
          <w:rFonts w:cs="Arial"/>
          <w:bCs/>
          <w:sz w:val="28"/>
          <w:szCs w:val="28"/>
        </w:rPr>
        <w:t>Spokane</w:t>
      </w:r>
      <w:r w:rsidR="00D26FA1" w:rsidRPr="00D26FA1">
        <w:rPr>
          <w:rFonts w:cs="Arial"/>
          <w:bCs/>
          <w:sz w:val="28"/>
          <w:szCs w:val="28"/>
        </w:rPr>
        <w:t xml:space="preserve">, </w:t>
      </w:r>
      <w:r>
        <w:rPr>
          <w:rFonts w:cs="Arial"/>
          <w:bCs/>
          <w:sz w:val="28"/>
          <w:szCs w:val="28"/>
        </w:rPr>
        <w:t>U.S.A</w:t>
      </w:r>
      <w:r w:rsidR="00D26FA1" w:rsidRPr="00D26FA1">
        <w:rPr>
          <w:rFonts w:cs="Arial"/>
          <w:bCs/>
          <w:sz w:val="28"/>
          <w:szCs w:val="28"/>
        </w:rPr>
        <w:t xml:space="preserve">, </w:t>
      </w:r>
      <w:r>
        <w:rPr>
          <w:rFonts w:cs="Arial"/>
          <w:bCs/>
          <w:sz w:val="28"/>
          <w:szCs w:val="28"/>
        </w:rPr>
        <w:t>November</w:t>
      </w:r>
      <w:r w:rsidR="00D26FA1" w:rsidRPr="00D26FA1">
        <w:rPr>
          <w:rFonts w:cs="Arial"/>
          <w:bCs/>
          <w:sz w:val="28"/>
          <w:szCs w:val="28"/>
        </w:rPr>
        <w:t xml:space="preserve"> </w:t>
      </w:r>
      <w:r>
        <w:rPr>
          <w:rFonts w:cs="Arial"/>
          <w:bCs/>
          <w:sz w:val="28"/>
          <w:szCs w:val="28"/>
        </w:rPr>
        <w:t>12</w:t>
      </w:r>
      <w:r w:rsidR="00D26FA1" w:rsidRPr="00D26FA1">
        <w:rPr>
          <w:rFonts w:cs="Arial"/>
          <w:bCs/>
          <w:sz w:val="28"/>
          <w:szCs w:val="28"/>
        </w:rPr>
        <w:t>th – 1</w:t>
      </w:r>
      <w:r>
        <w:rPr>
          <w:rFonts w:cs="Arial"/>
          <w:bCs/>
          <w:sz w:val="28"/>
          <w:szCs w:val="28"/>
        </w:rPr>
        <w:t>6</w:t>
      </w:r>
      <w:r w:rsidR="00D26FA1" w:rsidRPr="00D26FA1">
        <w:rPr>
          <w:rFonts w:cs="Arial"/>
          <w:bCs/>
          <w:sz w:val="28"/>
          <w:szCs w:val="28"/>
        </w:rPr>
        <w:t>th, 2018</w:t>
      </w:r>
    </w:p>
    <w:p w14:paraId="0B274087" w14:textId="77777777" w:rsidR="000F77CF" w:rsidRPr="00F83A93" w:rsidRDefault="000F77CF" w:rsidP="00B53BEB">
      <w:pPr>
        <w:pStyle w:val="CRCoverPage"/>
        <w:spacing w:line="276" w:lineRule="auto"/>
        <w:rPr>
          <w:rFonts w:cs="Arial"/>
          <w:b/>
          <w:bCs/>
          <w:sz w:val="24"/>
        </w:rPr>
      </w:pPr>
    </w:p>
    <w:p w14:paraId="7BE3236D" w14:textId="72A643E9" w:rsidR="000F77CF" w:rsidRPr="00BB3A4E" w:rsidRDefault="000F77CF" w:rsidP="00B53BEB">
      <w:pPr>
        <w:pStyle w:val="CRCoverPage"/>
        <w:spacing w:line="276" w:lineRule="auto"/>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97AF8" w:rsidRPr="00FA2868">
        <w:rPr>
          <w:rFonts w:cs="Arial"/>
          <w:b/>
          <w:bCs/>
          <w:sz w:val="24"/>
          <w:lang w:val="en-US"/>
        </w:rPr>
        <w:t>7.</w:t>
      </w:r>
      <w:r w:rsidR="00FA2868" w:rsidRPr="00FA2868">
        <w:rPr>
          <w:rFonts w:cs="Arial"/>
          <w:b/>
          <w:bCs/>
          <w:sz w:val="24"/>
          <w:lang w:val="en-US"/>
        </w:rPr>
        <w:t>2.3</w:t>
      </w:r>
      <w:r w:rsidR="00D97AF8" w:rsidRPr="00FA2868">
        <w:rPr>
          <w:rFonts w:cs="Arial"/>
          <w:b/>
          <w:bCs/>
          <w:sz w:val="24"/>
          <w:lang w:val="en-US"/>
        </w:rPr>
        <w:t>.</w:t>
      </w:r>
      <w:r w:rsidR="009E1C27" w:rsidRPr="00FA2868">
        <w:rPr>
          <w:rFonts w:cs="Arial"/>
          <w:b/>
          <w:bCs/>
          <w:sz w:val="24"/>
          <w:lang w:val="en-US"/>
        </w:rPr>
        <w:t>3</w:t>
      </w:r>
      <w:r w:rsidR="00D97AF8">
        <w:rPr>
          <w:rFonts w:cs="Arial"/>
          <w:b/>
          <w:bCs/>
          <w:sz w:val="24"/>
          <w:lang w:val="en-US"/>
        </w:rPr>
        <w:t xml:space="preserve"> </w:t>
      </w:r>
    </w:p>
    <w:p w14:paraId="53D30921" w14:textId="77777777" w:rsidR="000F77CF" w:rsidRPr="00BB3A4E" w:rsidRDefault="000F77CF" w:rsidP="00B53BEB">
      <w:pPr>
        <w:tabs>
          <w:tab w:val="left" w:pos="1985"/>
        </w:tabs>
        <w:spacing w:after="120" w:line="276" w:lineRule="auto"/>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62120CA1" w14:textId="638BB9B4" w:rsidR="000F77CF" w:rsidRPr="00BB3A4E" w:rsidRDefault="000F77CF" w:rsidP="00B53BEB">
      <w:pPr>
        <w:spacing w:line="276" w:lineRule="auto"/>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E27583">
        <w:rPr>
          <w:rFonts w:ascii="Arial" w:hAnsi="Arial" w:cs="Arial"/>
          <w:b/>
          <w:bCs/>
          <w:sz w:val="24"/>
          <w:lang w:val="en-US"/>
        </w:rPr>
        <w:t>Enhancements</w:t>
      </w:r>
      <w:r w:rsidR="00B53BEB">
        <w:rPr>
          <w:rFonts w:ascii="Arial" w:hAnsi="Arial" w:cs="Arial"/>
          <w:b/>
          <w:bCs/>
          <w:sz w:val="24"/>
          <w:lang w:val="en-US"/>
        </w:rPr>
        <w:t xml:space="preserve"> on RACH for IAB</w:t>
      </w:r>
    </w:p>
    <w:p w14:paraId="697B6DED" w14:textId="77777777" w:rsidR="000F77CF" w:rsidRPr="00BB3A4E" w:rsidRDefault="000F77CF" w:rsidP="00B53BEB">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3F351D73" w14:textId="77777777" w:rsidR="000F77CF" w:rsidRPr="00BB3A4E" w:rsidRDefault="000F77CF" w:rsidP="00F45D1E">
      <w:pPr>
        <w:pStyle w:val="Heading1"/>
        <w:pBdr>
          <w:top w:val="single" w:sz="12" w:space="2" w:color="auto"/>
        </w:pBdr>
        <w:rPr>
          <w:lang w:val="en-US"/>
        </w:rPr>
      </w:pPr>
      <w:r w:rsidRPr="00BB3A4E">
        <w:rPr>
          <w:lang w:val="en-US"/>
        </w:rPr>
        <w:t>1</w:t>
      </w:r>
      <w:r w:rsidRPr="00BB3A4E">
        <w:rPr>
          <w:lang w:val="en-US"/>
        </w:rPr>
        <w:tab/>
        <w:t>Introduction</w:t>
      </w:r>
    </w:p>
    <w:p w14:paraId="73B7A462" w14:textId="40D3CA26" w:rsidR="00CE378D" w:rsidRDefault="00B53BEB" w:rsidP="00D56DC4">
      <w:pPr>
        <w:spacing w:after="0" w:line="276" w:lineRule="auto"/>
        <w:rPr>
          <w:lang w:eastAsia="zh-CN"/>
        </w:rPr>
      </w:pPr>
      <w:r>
        <w:rPr>
          <w:lang w:eastAsia="zh-CN"/>
        </w:rPr>
        <w:t xml:space="preserve">In RAN1 #93, it was agreed to further study on </w:t>
      </w:r>
      <w:r w:rsidR="005F1CCB">
        <w:rPr>
          <w:lang w:eastAsia="zh-CN"/>
        </w:rPr>
        <w:t xml:space="preserve">the </w:t>
      </w:r>
      <w:r w:rsidR="00572560" w:rsidRPr="00572560">
        <w:rPr>
          <w:rFonts w:eastAsia="Batang"/>
        </w:rPr>
        <w:t>multiplexing of RACH transmissions</w:t>
      </w:r>
      <w:r w:rsidR="00572560">
        <w:rPr>
          <w:rFonts w:eastAsia="Batang"/>
        </w:rPr>
        <w:t xml:space="preserve"> from UEs and IAB nodes</w:t>
      </w:r>
      <w:r>
        <w:rPr>
          <w:lang w:eastAsia="zh-CN"/>
        </w:rPr>
        <w:t xml:space="preserve">. </w:t>
      </w:r>
      <w:r w:rsidR="005F1CCB">
        <w:rPr>
          <w:lang w:eastAsia="zh-CN"/>
        </w:rPr>
        <w:t>The agreement</w:t>
      </w:r>
      <w:r w:rsidR="00491D07">
        <w:rPr>
          <w:lang w:eastAsia="zh-CN"/>
        </w:rPr>
        <w:t xml:space="preserve"> in RAN1 #</w:t>
      </w:r>
      <w:r w:rsidR="00D26FA1">
        <w:rPr>
          <w:lang w:eastAsia="zh-CN"/>
        </w:rPr>
        <w:t xml:space="preserve">93 </w:t>
      </w:r>
      <w:r w:rsidR="00F86728">
        <w:rPr>
          <w:lang w:eastAsia="zh-CN"/>
        </w:rPr>
        <w:t>was</w:t>
      </w:r>
      <w:r w:rsidR="008E6BD3">
        <w:rPr>
          <w:lang w:eastAsia="zh-CN"/>
        </w:rPr>
        <w:t xml:space="preserve"> [1]</w:t>
      </w:r>
      <w:r>
        <w:rPr>
          <w:lang w:eastAsia="zh-CN"/>
        </w:rPr>
        <w:t xml:space="preserve">, </w:t>
      </w:r>
    </w:p>
    <w:p w14:paraId="5320B106" w14:textId="77777777" w:rsidR="00572560" w:rsidRDefault="00572560" w:rsidP="00D56DC4">
      <w:pPr>
        <w:spacing w:after="0" w:line="276" w:lineRule="auto"/>
        <w:ind w:left="720" w:hanging="720"/>
        <w:rPr>
          <w:rFonts w:eastAsia="Batang"/>
          <w:highlight w:val="green"/>
          <w:lang w:eastAsia="x-none"/>
        </w:rPr>
      </w:pPr>
    </w:p>
    <w:p w14:paraId="2A866951" w14:textId="02A37088" w:rsidR="00572560" w:rsidRPr="00572560" w:rsidRDefault="00572560" w:rsidP="00D56DC4">
      <w:pPr>
        <w:spacing w:after="0" w:line="276" w:lineRule="auto"/>
        <w:ind w:left="720" w:hanging="720"/>
        <w:rPr>
          <w:rFonts w:eastAsia="Batang"/>
          <w:lang w:eastAsia="x-none"/>
        </w:rPr>
      </w:pPr>
      <w:r w:rsidRPr="00572560">
        <w:rPr>
          <w:rFonts w:eastAsia="Batang"/>
          <w:highlight w:val="green"/>
          <w:lang w:eastAsia="x-none"/>
        </w:rPr>
        <w:t>Agreements</w:t>
      </w:r>
      <w:r w:rsidRPr="00572560">
        <w:rPr>
          <w:rFonts w:eastAsia="Batang"/>
          <w:lang w:eastAsia="x-none"/>
        </w:rPr>
        <w:t>:</w:t>
      </w:r>
    </w:p>
    <w:p w14:paraId="018306D8" w14:textId="77777777" w:rsidR="00572560" w:rsidRPr="00572560" w:rsidRDefault="00572560" w:rsidP="008051CC">
      <w:pPr>
        <w:pStyle w:val="NoSpacing"/>
        <w:numPr>
          <w:ilvl w:val="0"/>
          <w:numId w:val="28"/>
        </w:numPr>
        <w:spacing w:line="276" w:lineRule="auto"/>
        <w:jc w:val="both"/>
        <w:rPr>
          <w:rFonts w:eastAsia="Batang"/>
        </w:rPr>
      </w:pPr>
      <w:r w:rsidRPr="00572560">
        <w:rPr>
          <w:rFonts w:eastAsia="Batang"/>
        </w:rPr>
        <w:t>Study mechanisms for multiplexing of RACH transmissions from UEs and RACH transmissions from IAB nodes.</w:t>
      </w:r>
    </w:p>
    <w:p w14:paraId="73A4764B" w14:textId="77777777" w:rsidR="00572560" w:rsidRDefault="00572560" w:rsidP="00D56DC4">
      <w:pPr>
        <w:spacing w:after="0" w:line="276" w:lineRule="auto"/>
        <w:rPr>
          <w:lang w:eastAsia="x-none"/>
        </w:rPr>
      </w:pPr>
    </w:p>
    <w:p w14:paraId="00AEE79B" w14:textId="5C3D5533" w:rsidR="00D26FA1" w:rsidRPr="00974DCF" w:rsidRDefault="00D26FA1" w:rsidP="00D26FA1">
      <w:pPr>
        <w:jc w:val="both"/>
      </w:pPr>
      <w:r>
        <w:t xml:space="preserve">In RAN1 #94, </w:t>
      </w:r>
      <w:r w:rsidRPr="00974DCF">
        <w:t xml:space="preserve">the following </w:t>
      </w:r>
      <w:r>
        <w:t>was agreed</w:t>
      </w:r>
      <w:r w:rsidR="008E6BD3">
        <w:t xml:space="preserve"> [2]</w:t>
      </w:r>
      <w:r w:rsidRPr="00974DCF">
        <w:t xml:space="preserve">. </w:t>
      </w:r>
    </w:p>
    <w:p w14:paraId="4E757201" w14:textId="77777777" w:rsidR="00D26FA1" w:rsidRPr="00974DCF" w:rsidRDefault="00D26FA1" w:rsidP="00D26FA1">
      <w:pPr>
        <w:jc w:val="both"/>
      </w:pPr>
      <w:r w:rsidRPr="00974DCF">
        <w:rPr>
          <w:highlight w:val="green"/>
        </w:rPr>
        <w:t>Agreements</w:t>
      </w:r>
      <w:r w:rsidRPr="00974DCF">
        <w:t>:</w:t>
      </w:r>
    </w:p>
    <w:p w14:paraId="0AA36B08" w14:textId="77777777" w:rsidR="00D26FA1" w:rsidRPr="00974DCF" w:rsidRDefault="00D26FA1" w:rsidP="00D26FA1">
      <w:pPr>
        <w:numPr>
          <w:ilvl w:val="0"/>
          <w:numId w:val="29"/>
        </w:numPr>
        <w:spacing w:after="0"/>
        <w:jc w:val="both"/>
      </w:pPr>
      <w:r w:rsidRPr="00974DCF">
        <w:t xml:space="preserve">IAB supports the ability of network flexibility to configure backhaul RACH resources with different occasions, periodicities, and/or formats, </w:t>
      </w:r>
      <w:r w:rsidRPr="00974DCF">
        <w:rPr>
          <w:bCs/>
        </w:rPr>
        <w:t>compared to access RACH resources without impacting Rel.15 UEs</w:t>
      </w:r>
    </w:p>
    <w:p w14:paraId="3A4DBD24" w14:textId="77777777" w:rsidR="00D26FA1" w:rsidRPr="00974DCF" w:rsidRDefault="00D26FA1" w:rsidP="00D26FA1">
      <w:pPr>
        <w:numPr>
          <w:ilvl w:val="1"/>
          <w:numId w:val="29"/>
        </w:numPr>
        <w:spacing w:after="0"/>
        <w:jc w:val="both"/>
      </w:pPr>
      <w:r w:rsidRPr="00974DCF">
        <w:t xml:space="preserve">Further study mechanisms under current PRACH design framework to ensure that after initial access, IAB nodes and access UE of its mother node can be configured or identify </w:t>
      </w:r>
      <w:proofErr w:type="spellStart"/>
      <w:r w:rsidRPr="00974DCF">
        <w:t>TDMed</w:t>
      </w:r>
      <w:proofErr w:type="spellEnd"/>
      <w:r w:rsidRPr="00974DCF">
        <w:t xml:space="preserve"> PRACH occasions.</w:t>
      </w:r>
    </w:p>
    <w:p w14:paraId="535DE080" w14:textId="39D15F94" w:rsidR="00D26FA1" w:rsidRDefault="00D26FA1" w:rsidP="00D26FA1">
      <w:pPr>
        <w:numPr>
          <w:ilvl w:val="1"/>
          <w:numId w:val="29"/>
        </w:numPr>
        <w:spacing w:after="0"/>
        <w:jc w:val="both"/>
      </w:pPr>
      <w:r w:rsidRPr="00974DCF">
        <w:t>Further study the need for new RACH formats/configurations specific for IAB node random access</w:t>
      </w:r>
      <w:r>
        <w:t>.</w:t>
      </w:r>
    </w:p>
    <w:p w14:paraId="304C76AD" w14:textId="00719063" w:rsidR="008051CC" w:rsidRDefault="008051CC" w:rsidP="008051CC">
      <w:pPr>
        <w:spacing w:after="0"/>
        <w:jc w:val="both"/>
      </w:pPr>
    </w:p>
    <w:p w14:paraId="1FBCC8A9" w14:textId="4A36D260" w:rsidR="008051CC" w:rsidRDefault="008051CC" w:rsidP="008051CC">
      <w:pPr>
        <w:spacing w:after="0"/>
        <w:jc w:val="both"/>
      </w:pPr>
      <w:r>
        <w:t>Further agreements on RACH was made in RAN #94bis meeting</w:t>
      </w:r>
      <w:r w:rsidR="008E6BD3">
        <w:t xml:space="preserve"> [3]</w:t>
      </w:r>
      <w:r>
        <w:t xml:space="preserve">, </w:t>
      </w:r>
    </w:p>
    <w:p w14:paraId="3FC7F0CE" w14:textId="746DEE84" w:rsidR="008051CC" w:rsidRDefault="008051CC" w:rsidP="008051CC">
      <w:pPr>
        <w:spacing w:after="0"/>
        <w:jc w:val="both"/>
      </w:pPr>
    </w:p>
    <w:p w14:paraId="1CAD49AD" w14:textId="77777777" w:rsidR="008051CC" w:rsidRPr="00D36DD1" w:rsidRDefault="008051CC" w:rsidP="008051CC">
      <w:pPr>
        <w:rPr>
          <w:lang w:eastAsia="x-none"/>
        </w:rPr>
      </w:pPr>
      <w:r w:rsidRPr="00D36DD1">
        <w:rPr>
          <w:highlight w:val="green"/>
          <w:lang w:eastAsia="x-none"/>
        </w:rPr>
        <w:t>Agreements</w:t>
      </w:r>
      <w:r w:rsidRPr="00D36DD1">
        <w:rPr>
          <w:lang w:eastAsia="x-none"/>
        </w:rPr>
        <w:t>:</w:t>
      </w:r>
    </w:p>
    <w:p w14:paraId="3EF04385" w14:textId="77777777" w:rsidR="008051CC" w:rsidRPr="00D36DD1" w:rsidRDefault="008051CC" w:rsidP="008051CC">
      <w:pPr>
        <w:numPr>
          <w:ilvl w:val="0"/>
          <w:numId w:val="41"/>
        </w:numPr>
        <w:spacing w:after="0"/>
      </w:pPr>
      <w:r w:rsidRPr="00D36DD1">
        <w:t>For IAB node random access support</w:t>
      </w:r>
    </w:p>
    <w:p w14:paraId="225B1EB5" w14:textId="77777777" w:rsidR="008051CC" w:rsidRPr="00D36DD1" w:rsidRDefault="008051CC" w:rsidP="008051CC">
      <w:pPr>
        <w:numPr>
          <w:ilvl w:val="1"/>
          <w:numId w:val="41"/>
        </w:numPr>
        <w:spacing w:after="0"/>
      </w:pPr>
      <w:r w:rsidRPr="00D36DD1">
        <w:t>Longer RACH periodicity</w:t>
      </w:r>
    </w:p>
    <w:p w14:paraId="1CB5D3FB" w14:textId="77777777" w:rsidR="008051CC" w:rsidRPr="00D36DD1" w:rsidRDefault="008051CC" w:rsidP="008051CC">
      <w:pPr>
        <w:numPr>
          <w:ilvl w:val="1"/>
          <w:numId w:val="41"/>
        </w:numPr>
        <w:spacing w:after="0"/>
      </w:pPr>
      <w:r w:rsidRPr="00D36DD1">
        <w:t>Additional preamble formats allowing for longer RTT</w:t>
      </w:r>
    </w:p>
    <w:p w14:paraId="06920FF1" w14:textId="3D55123A" w:rsidR="008051CC" w:rsidRDefault="008051CC" w:rsidP="008051CC">
      <w:pPr>
        <w:numPr>
          <w:ilvl w:val="1"/>
          <w:numId w:val="41"/>
        </w:numPr>
        <w:spacing w:after="0"/>
      </w:pPr>
      <w:r w:rsidRPr="00D36DD1">
        <w:t>Details left for WI phase</w:t>
      </w:r>
    </w:p>
    <w:p w14:paraId="03A90627" w14:textId="77777777" w:rsidR="008051CC" w:rsidRPr="00D36DD1" w:rsidRDefault="008051CC" w:rsidP="008051CC">
      <w:pPr>
        <w:spacing w:after="0"/>
        <w:ind w:left="1440"/>
      </w:pPr>
    </w:p>
    <w:p w14:paraId="677CCA23" w14:textId="77777777" w:rsidR="008051CC" w:rsidRPr="009C5C4C" w:rsidRDefault="008051CC" w:rsidP="008051CC">
      <w:pPr>
        <w:rPr>
          <w:lang w:eastAsia="x-none"/>
        </w:rPr>
      </w:pPr>
      <w:r w:rsidRPr="009C5C4C">
        <w:rPr>
          <w:highlight w:val="green"/>
          <w:lang w:eastAsia="x-none"/>
        </w:rPr>
        <w:t>Agreements</w:t>
      </w:r>
      <w:r w:rsidRPr="009C5C4C">
        <w:rPr>
          <w:lang w:eastAsia="x-none"/>
        </w:rPr>
        <w:t>:</w:t>
      </w:r>
    </w:p>
    <w:p w14:paraId="39639B99" w14:textId="77777777" w:rsidR="008051CC" w:rsidRPr="009C5C4C" w:rsidRDefault="008051CC" w:rsidP="008051CC">
      <w:pPr>
        <w:numPr>
          <w:ilvl w:val="0"/>
          <w:numId w:val="41"/>
        </w:numPr>
        <w:spacing w:after="0"/>
      </w:pPr>
      <w:r w:rsidRPr="009C5C4C">
        <w:t>Based on Rel-15 PRACH configurations, NR allows network to configure offset(s) for PRACH occasions for MT IAB node(s), to TDM backhaul RACH resources across adjacent hops. The detailed granularity of the offset (e.g., radio frame, subframe, slot, etc.) is left for WI phase</w:t>
      </w:r>
    </w:p>
    <w:p w14:paraId="38643C6F" w14:textId="77777777" w:rsidR="008051CC" w:rsidRPr="00974DCF" w:rsidRDefault="008051CC" w:rsidP="008051CC">
      <w:pPr>
        <w:spacing w:after="0"/>
        <w:jc w:val="both"/>
      </w:pPr>
    </w:p>
    <w:p w14:paraId="6DC01B09" w14:textId="3B465C23" w:rsidR="005F1CCB" w:rsidRDefault="005F1CCB" w:rsidP="008051CC">
      <w:pPr>
        <w:spacing w:line="276" w:lineRule="auto"/>
        <w:jc w:val="both"/>
        <w:rPr>
          <w:lang w:eastAsia="zh-CN"/>
        </w:rPr>
      </w:pPr>
      <w:r w:rsidRPr="005F1CCB">
        <w:rPr>
          <w:lang w:eastAsia="zh-CN"/>
        </w:rPr>
        <w:t xml:space="preserve">In this document, we </w:t>
      </w:r>
      <w:r w:rsidR="00D26FA1">
        <w:t xml:space="preserve">discuss methods for efficient PRACH multiplexing schemes for IAB and access UEs without increasing the RACH resources. </w:t>
      </w:r>
    </w:p>
    <w:p w14:paraId="3E6AC56E" w14:textId="77777777" w:rsidR="000F77CF" w:rsidRPr="005E06BF" w:rsidRDefault="000F77CF" w:rsidP="005E06BF">
      <w:pPr>
        <w:pStyle w:val="Heading1"/>
        <w:rPr>
          <w:color w:val="000000"/>
          <w:lang w:val="en-US"/>
        </w:rPr>
      </w:pPr>
      <w:r>
        <w:rPr>
          <w:color w:val="000000"/>
          <w:lang w:val="en-US"/>
        </w:rPr>
        <w:t>2</w:t>
      </w:r>
      <w:r w:rsidR="007C0ADD">
        <w:rPr>
          <w:color w:val="000000"/>
          <w:lang w:val="en-US"/>
        </w:rPr>
        <w:tab/>
      </w:r>
      <w:r w:rsidR="005E06BF">
        <w:rPr>
          <w:color w:val="000000"/>
          <w:lang w:val="en-US"/>
        </w:rPr>
        <w:t>Discussion</w:t>
      </w:r>
    </w:p>
    <w:p w14:paraId="3599B144" w14:textId="49EE12F3" w:rsidR="00C5580A" w:rsidRDefault="00C5580A" w:rsidP="00444B1B">
      <w:pPr>
        <w:jc w:val="both"/>
      </w:pPr>
      <w:r>
        <w:t>Figure 1</w:t>
      </w:r>
      <w:r w:rsidR="00425EAD">
        <w:t xml:space="preserve"> depicts the situation that is behind the agreements made in RAN1 #93 and #94:</w:t>
      </w:r>
      <w:r w:rsidR="00444B1B">
        <w:t xml:space="preserve"> </w:t>
      </w:r>
      <w:r>
        <w:t xml:space="preserve"> an IAB </w:t>
      </w:r>
      <w:r w:rsidR="00035B9A">
        <w:t>n</w:t>
      </w:r>
      <w:r>
        <w:t xml:space="preserve">ode may need to try initial access to an IAB-donor from a distance that may considerably exceed the Donor’s cell radius </w:t>
      </w:r>
      <w:r w:rsidR="00444B1B">
        <w:t>that</w:t>
      </w:r>
      <w:r>
        <w:t xml:space="preserve"> in the absence of IAB deployment would be used for determining the </w:t>
      </w:r>
      <w:r w:rsidR="00425EAD">
        <w:t xml:space="preserve">preamble format and </w:t>
      </w:r>
      <w:r>
        <w:t>cyclic shift step. Thus, if the</w:t>
      </w:r>
      <w:r w:rsidR="00425EAD">
        <w:t xml:space="preserve"> preamble format or</w:t>
      </w:r>
      <w:r>
        <w:t xml:space="preserve"> cyclic shift step for UEs would be selected for supporting also RTT of IAB nodes, </w:t>
      </w:r>
      <w:r w:rsidR="00425EAD">
        <w:t xml:space="preserve">guard time and CP could become unnecessarily large for UEs or (if the same format could be used both for UEs and IAB nodes) </w:t>
      </w:r>
      <w:r>
        <w:t xml:space="preserve">the </w:t>
      </w:r>
      <w:r w:rsidRPr="00637B16">
        <w:t xml:space="preserve">supportable number of cyclic shifts for each ZC root sequence </w:t>
      </w:r>
      <w:r w:rsidR="00425EAD">
        <w:t xml:space="preserve">would </w:t>
      </w:r>
      <w:r w:rsidRPr="00637B16">
        <w:t>decrease significantly</w:t>
      </w:r>
      <w:r>
        <w:t xml:space="preserve"> </w:t>
      </w:r>
      <w:r w:rsidR="00425EAD">
        <w:t xml:space="preserve">if </w:t>
      </w:r>
      <w:r w:rsidRPr="00637B16">
        <w:t xml:space="preserve"> access and IAB nodes use</w:t>
      </w:r>
      <w:r w:rsidR="00425EAD">
        <w:t>d</w:t>
      </w:r>
      <w:r w:rsidRPr="00637B16">
        <w:t xml:space="preserve"> same re</w:t>
      </w:r>
      <w:r>
        <w:t>sources for RACH</w:t>
      </w:r>
      <w:r w:rsidRPr="00637B16">
        <w:t>.</w:t>
      </w:r>
      <w:r w:rsidR="00DE7389">
        <w:t xml:space="preserve"> To avoid these drawbacks,</w:t>
      </w:r>
      <w:r w:rsidR="00425EAD">
        <w:t xml:space="preserve"> it was agreed that</w:t>
      </w:r>
      <w:r w:rsidR="00DE7389">
        <w:t xml:space="preserve"> network should be able to configure separate RACH resources for </w:t>
      </w:r>
      <w:r w:rsidR="00DE7389">
        <w:lastRenderedPageBreak/>
        <w:t>UEs and IAB nodes. In this document, we propose a few methods that would allow sharing the same RACH between IAB nodes and UEs</w:t>
      </w:r>
      <w:r w:rsidR="00284B8C">
        <w:t xml:space="preserve"> despite the different RTTs</w:t>
      </w:r>
      <w:r w:rsidR="00DE7389">
        <w:t>. The benefit would be allowing frequent RACH opportunities (minimised RACH latency) for IAB nodes with minimal resource use. In Section 2.1 we introduce a method where IAB nodes</w:t>
      </w:r>
      <w:r w:rsidR="00091BC0">
        <w:t xml:space="preserve"> apply initial TA for preambles this way compensating </w:t>
      </w:r>
      <w:r w:rsidR="00284B8C">
        <w:t xml:space="preserve">partly their larger RTT. The other Sections discuss methods where multiple adjacent cyclic shifts are combined for providing a larger cyclic shift step for IAB nodes. </w:t>
      </w:r>
      <w:r w:rsidR="00DE7389">
        <w:t xml:space="preserve"> </w:t>
      </w:r>
      <w:r w:rsidR="00425EAD">
        <w:t xml:space="preserve"> </w:t>
      </w:r>
      <w:r>
        <w:t xml:space="preserve"> </w:t>
      </w:r>
    </w:p>
    <w:p w14:paraId="79134FA6" w14:textId="3F4487BE" w:rsidR="00C5580A" w:rsidRDefault="00C5580A" w:rsidP="00C5580A">
      <w:pPr>
        <w:jc w:val="center"/>
      </w:pPr>
      <w:r w:rsidRPr="00B51D51">
        <w:t xml:space="preserve"> </w:t>
      </w:r>
      <w:r w:rsidR="000167D9">
        <w:object w:dxaOrig="10771" w:dyaOrig="10311" w14:anchorId="531E9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52pt" o:ole="">
            <v:imagedata r:id="rId14" o:title=""/>
          </v:shape>
          <o:OLEObject Type="Embed" ProgID="Visio.Drawing.15" ShapeID="_x0000_i1025" DrawAspect="Content" ObjectID="_1602702700" r:id="rId15"/>
        </w:object>
      </w:r>
    </w:p>
    <w:p w14:paraId="74E39441" w14:textId="77777777" w:rsidR="00C5580A" w:rsidRPr="00637B16" w:rsidRDefault="00C5580A" w:rsidP="00C5580A">
      <w:pPr>
        <w:jc w:val="center"/>
      </w:pPr>
      <w:r w:rsidRPr="005F4085">
        <w:rPr>
          <w:b/>
        </w:rPr>
        <w:t>Figure 1:</w:t>
      </w:r>
      <w:r w:rsidRPr="00637B16">
        <w:t xml:space="preserve"> RACH of IAB nodes may need to support larger distances compared to UEs</w:t>
      </w:r>
    </w:p>
    <w:p w14:paraId="5B89487F" w14:textId="3CAF210E" w:rsidR="00444B1B" w:rsidRDefault="00444B1B" w:rsidP="000167D9">
      <w:pPr>
        <w:jc w:val="both"/>
      </w:pPr>
    </w:p>
    <w:p w14:paraId="52BB8913" w14:textId="033BCAC2" w:rsidR="00425EAD" w:rsidRDefault="00425EAD" w:rsidP="00425EAD">
      <w:pPr>
        <w:pStyle w:val="Heading2"/>
      </w:pPr>
      <w:r>
        <w:t>2.1</w:t>
      </w:r>
      <w:r>
        <w:tab/>
      </w:r>
      <w:r>
        <w:rPr>
          <w:rFonts w:eastAsia="MS Mincho"/>
          <w:lang w:eastAsia="ja-JP"/>
        </w:rPr>
        <w:t>C</w:t>
      </w:r>
      <w:r w:rsidRPr="0024647B">
        <w:rPr>
          <w:rFonts w:eastAsia="MS Mincho"/>
          <w:lang w:eastAsia="ja-JP"/>
        </w:rPr>
        <w:t>onfigure an IAB specific initial TA</w:t>
      </w:r>
    </w:p>
    <w:p w14:paraId="7F866E26" w14:textId="27DE2BC7" w:rsidR="00425EAD" w:rsidRPr="0024647B" w:rsidRDefault="00425EAD" w:rsidP="00425EAD">
      <w:pPr>
        <w:spacing w:after="120"/>
        <w:jc w:val="both"/>
        <w:rPr>
          <w:rFonts w:eastAsia="MS Mincho"/>
          <w:lang w:eastAsia="ja-JP"/>
        </w:rPr>
      </w:pPr>
      <w:r>
        <w:rPr>
          <w:rFonts w:eastAsia="MS Mincho"/>
          <w:lang w:eastAsia="ja-JP"/>
        </w:rPr>
        <w:t>It</w:t>
      </w:r>
      <w:r w:rsidRPr="0024647B">
        <w:rPr>
          <w:rFonts w:eastAsia="MS Mincho"/>
          <w:lang w:eastAsia="ja-JP"/>
        </w:rPr>
        <w:t xml:space="preserve"> </w:t>
      </w:r>
      <w:r>
        <w:rPr>
          <w:rFonts w:eastAsia="MS Mincho"/>
          <w:lang w:eastAsia="ja-JP"/>
        </w:rPr>
        <w:t>may</w:t>
      </w:r>
      <w:r w:rsidRPr="0024647B">
        <w:rPr>
          <w:rFonts w:eastAsia="MS Mincho"/>
          <w:lang w:eastAsia="ja-JP"/>
        </w:rPr>
        <w:t xml:space="preserve"> be </w:t>
      </w:r>
      <w:r>
        <w:rPr>
          <w:rFonts w:eastAsia="MS Mincho"/>
          <w:lang w:eastAsia="ja-JP"/>
        </w:rPr>
        <w:t xml:space="preserve">possible </w:t>
      </w:r>
      <w:r w:rsidRPr="0024647B">
        <w:rPr>
          <w:rFonts w:eastAsia="MS Mincho"/>
          <w:lang w:eastAsia="ja-JP"/>
        </w:rPr>
        <w:t xml:space="preserve">to configure an IAB specific initial TA for RACH preamble transmission. The initial TA would compensate the extended range for the BH link, and this way the RACH formats and </w:t>
      </w:r>
      <w:proofErr w:type="spellStart"/>
      <w:r w:rsidRPr="0024647B">
        <w:rPr>
          <w:rFonts w:eastAsia="MS Mincho"/>
          <w:lang w:eastAsia="ja-JP"/>
        </w:rPr>
        <w:t>Ncs</w:t>
      </w:r>
      <w:proofErr w:type="spellEnd"/>
      <w:r w:rsidRPr="0024647B">
        <w:rPr>
          <w:rFonts w:eastAsia="MS Mincho"/>
          <w:lang w:eastAsia="ja-JP"/>
        </w:rPr>
        <w:t xml:space="preserve"> values used by the access UEs would not be affected by the IAB deployment. </w:t>
      </w:r>
      <w:r>
        <w:rPr>
          <w:rFonts w:eastAsia="MS Mincho"/>
          <w:lang w:eastAsia="ja-JP"/>
        </w:rPr>
        <w:t xml:space="preserve">In general, as our </w:t>
      </w:r>
      <w:proofErr w:type="gramStart"/>
      <w:r>
        <w:rPr>
          <w:rFonts w:eastAsia="MS Mincho"/>
          <w:lang w:eastAsia="ja-JP"/>
        </w:rPr>
        <w:t>main focus</w:t>
      </w:r>
      <w:proofErr w:type="gramEnd"/>
      <w:r>
        <w:rPr>
          <w:rFonts w:eastAsia="MS Mincho"/>
          <w:lang w:eastAsia="ja-JP"/>
        </w:rPr>
        <w:t xml:space="preserve"> is fixed IAB nodes, the locations of IAB node should be known to the CU and RTT between nodes can be also roughly estimated. </w:t>
      </w:r>
    </w:p>
    <w:p w14:paraId="73139EAF" w14:textId="3276271B" w:rsidR="00425EAD" w:rsidRDefault="00425EAD" w:rsidP="00BE7C4C">
      <w:pPr>
        <w:spacing w:after="120"/>
        <w:jc w:val="both"/>
      </w:pPr>
      <w:r>
        <w:rPr>
          <w:rFonts w:eastAsia="MS Mincho"/>
          <w:lang w:eastAsia="ja-JP"/>
        </w:rPr>
        <w:t>Then the question is how to configure the</w:t>
      </w:r>
      <w:r w:rsidRPr="0024647B">
        <w:rPr>
          <w:rFonts w:eastAsia="MS Mincho"/>
          <w:lang w:eastAsia="ja-JP"/>
        </w:rPr>
        <w:t xml:space="preserve"> value for the initial TA to match with the extended range. Should it be manually configured when deploying the IAB nodes, should there be support on broadcast information (SI) to indicate the value, or some other means. If initial TA is set by broadcasted information, it should correspond to the minimum RTT between IAB nodes or between IAB nodes and DgNB. </w:t>
      </w:r>
    </w:p>
    <w:p w14:paraId="70CD5579" w14:textId="40D38DDD" w:rsidR="00133960" w:rsidRPr="003B0B7F" w:rsidRDefault="00272D96" w:rsidP="000167D9">
      <w:pPr>
        <w:pStyle w:val="Heading2"/>
        <w:rPr>
          <w:lang w:val="en-US"/>
        </w:rPr>
      </w:pPr>
      <w:r>
        <w:t>2.</w:t>
      </w:r>
      <w:r w:rsidR="00425EAD">
        <w:t>2</w:t>
      </w:r>
      <w:r>
        <w:tab/>
      </w:r>
      <w:r w:rsidR="003B0B7F" w:rsidRPr="000167D9">
        <w:t>RAR</w:t>
      </w:r>
      <w:r w:rsidR="003B0B7F" w:rsidRPr="003B0B7F">
        <w:t xml:space="preserve"> for both IAB and access UE</w:t>
      </w:r>
    </w:p>
    <w:p w14:paraId="5253C19B" w14:textId="29010F59" w:rsidR="000167D9" w:rsidRDefault="00F708BD" w:rsidP="00D26FA1">
      <w:pPr>
        <w:jc w:val="both"/>
      </w:pPr>
      <w:r>
        <w:t>In this and later Sections we assume that the preamble format (CP and guard period) are suitable both for IAB nodes’ and UEs’ RTT. Furthermore</w:t>
      </w:r>
      <w:r w:rsidR="00BE7C4C">
        <w:t>,</w:t>
      </w:r>
      <w:r>
        <w:t xml:space="preserve"> we assume that multiple cyclic shifts of a root sequence </w:t>
      </w:r>
      <w:proofErr w:type="gramStart"/>
      <w:r>
        <w:t>is</w:t>
      </w:r>
      <w:proofErr w:type="gramEnd"/>
      <w:r>
        <w:t xml:space="preserve"> available for UEs. Then f</w:t>
      </w:r>
      <w:r w:rsidR="00D26FA1" w:rsidRPr="0086563E">
        <w:t xml:space="preserve">or each ZC root sequence, two </w:t>
      </w:r>
      <w:r>
        <w:t xml:space="preserve">cyclic shift </w:t>
      </w:r>
      <w:proofErr w:type="gramStart"/>
      <w:r>
        <w:t>step</w:t>
      </w:r>
      <w:proofErr w:type="gramEnd"/>
      <w:r>
        <w:t xml:space="preserve">, </w:t>
      </w:r>
      <w:proofErr w:type="spellStart"/>
      <w:r w:rsidR="00D26FA1" w:rsidRPr="0086563E">
        <w:t>N</w:t>
      </w:r>
      <w:r w:rsidR="00D26FA1">
        <w:t>c</w:t>
      </w:r>
      <w:r w:rsidR="00D26FA1" w:rsidRPr="0086563E">
        <w:t>s</w:t>
      </w:r>
      <w:proofErr w:type="spellEnd"/>
      <w:r>
        <w:t xml:space="preserve">, </w:t>
      </w:r>
      <w:r w:rsidR="00D26FA1" w:rsidRPr="0086563E">
        <w:t xml:space="preserve">values are defined. The smaller one is for UEs and the larger one for IAB nodes, as shown in Figure </w:t>
      </w:r>
      <w:r w:rsidR="000167D9">
        <w:t>2</w:t>
      </w:r>
      <w:r w:rsidR="00D26FA1" w:rsidRPr="0086563E">
        <w:t xml:space="preserve">. </w:t>
      </w:r>
    </w:p>
    <w:p w14:paraId="42FE6F8E" w14:textId="77777777" w:rsidR="000167D9" w:rsidRDefault="000167D9" w:rsidP="000167D9">
      <w:pPr>
        <w:pStyle w:val="ListParagraph"/>
        <w:spacing w:after="160" w:line="254" w:lineRule="auto"/>
        <w:ind w:left="0"/>
        <w:contextualSpacing w:val="0"/>
        <w:rPr>
          <w:rFonts w:ascii="Times New Roman" w:hAnsi="Times New Roman"/>
        </w:rPr>
      </w:pPr>
      <w:r w:rsidRPr="00BB3CC5">
        <w:rPr>
          <w:noProof/>
        </w:rPr>
        <w:lastRenderedPageBreak/>
        <w:drawing>
          <wp:inline distT="0" distB="0" distL="0" distR="0" wp14:anchorId="4A0D2C2D" wp14:editId="76648A38">
            <wp:extent cx="6400800" cy="1889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0800" cy="1889760"/>
                    </a:xfrm>
                    <a:prstGeom prst="rect">
                      <a:avLst/>
                    </a:prstGeom>
                    <a:noFill/>
                    <a:ln>
                      <a:noFill/>
                    </a:ln>
                  </pic:spPr>
                </pic:pic>
              </a:graphicData>
            </a:graphic>
          </wp:inline>
        </w:drawing>
      </w:r>
    </w:p>
    <w:p w14:paraId="360A73E7" w14:textId="416F532E" w:rsidR="000167D9" w:rsidRPr="00035B9A" w:rsidRDefault="000167D9" w:rsidP="000167D9">
      <w:pPr>
        <w:pStyle w:val="ListParagraph"/>
        <w:spacing w:after="160" w:line="254" w:lineRule="auto"/>
        <w:ind w:left="0"/>
        <w:contextualSpacing w:val="0"/>
        <w:jc w:val="center"/>
        <w:rPr>
          <w:rFonts w:ascii="Times New Roman" w:hAnsi="Times New Roman"/>
          <w:sz w:val="20"/>
          <w:szCs w:val="20"/>
        </w:rPr>
      </w:pPr>
      <w:r w:rsidRPr="00035B9A">
        <w:rPr>
          <w:rFonts w:ascii="Times New Roman" w:hAnsi="Times New Roman"/>
          <w:b/>
          <w:sz w:val="20"/>
          <w:szCs w:val="20"/>
        </w:rPr>
        <w:t>Figure 2</w:t>
      </w:r>
      <w:r w:rsidRPr="00035B9A">
        <w:rPr>
          <w:rFonts w:ascii="Times New Roman" w:hAnsi="Times New Roman"/>
          <w:sz w:val="20"/>
          <w:szCs w:val="20"/>
        </w:rPr>
        <w:t>: IAB node signature may span over multiple signatures of access UEs.</w:t>
      </w:r>
    </w:p>
    <w:p w14:paraId="1F074512" w14:textId="13515B0F" w:rsidR="00D26FA1" w:rsidRPr="0086563E" w:rsidRDefault="00D26FA1" w:rsidP="00D26FA1">
      <w:pPr>
        <w:jc w:val="both"/>
      </w:pPr>
      <w:r w:rsidRPr="0086563E">
        <w:t xml:space="preserve">When a correlation peak corresponding to e.g. the third UE signature is received, as shown in Figure </w:t>
      </w:r>
      <w:r w:rsidR="000167D9">
        <w:t>2</w:t>
      </w:r>
      <w:r w:rsidRPr="0086563E">
        <w:t xml:space="preserve">, also the possibility that the signal came from an IAB node transmitting the first IAB signature is considered.  A straightforward way would be that the base station would send two random access response (RAR) messages, one </w:t>
      </w:r>
      <w:proofErr w:type="gramStart"/>
      <w:r w:rsidRPr="0086563E">
        <w:t>assuming that</w:t>
      </w:r>
      <w:proofErr w:type="gramEnd"/>
      <w:r w:rsidRPr="0086563E">
        <w:t xml:space="preserve"> the signal was sent by a U</w:t>
      </w:r>
      <w:r w:rsidR="003B0B7F">
        <w:t xml:space="preserve">E and another assuming IAB node </w:t>
      </w:r>
      <w:r w:rsidRPr="0086563E">
        <w:t xml:space="preserve">and see which one it gets a response for. </w:t>
      </w:r>
      <w:r w:rsidR="003B0B7F">
        <w:t>In general, CU controls the IAB topology and uncoordinated RACH transmissions</w:t>
      </w:r>
      <w:r w:rsidR="000167D9">
        <w:t xml:space="preserve"> may not happen in a IAB network. </w:t>
      </w:r>
      <w:r w:rsidR="003B0B7F">
        <w:t xml:space="preserve">Therefore, parent nodes </w:t>
      </w:r>
      <w:r w:rsidR="000167D9">
        <w:t>should have some</w:t>
      </w:r>
      <w:r w:rsidR="003B0B7F">
        <w:t xml:space="preserve"> knowledge when possible RACH transmissions </w:t>
      </w:r>
      <w:r w:rsidR="000167D9">
        <w:t>are coming from</w:t>
      </w:r>
      <w:r w:rsidR="003B0B7F">
        <w:t xml:space="preserve"> IAB nodes and </w:t>
      </w:r>
      <w:r w:rsidR="000167D9">
        <w:t>transmit</w:t>
      </w:r>
      <w:r w:rsidR="003B0B7F">
        <w:t xml:space="preserve"> RAR assuming two different kind of nodes, IAB and access UE, use the same RACH resources. Also, a</w:t>
      </w:r>
      <w:r>
        <w:t xml:space="preserve"> method of</w:t>
      </w:r>
      <w:r w:rsidRPr="001A0394">
        <w:t xml:space="preserve"> avoiding</w:t>
      </w:r>
      <w:r w:rsidRPr="0086563E">
        <w:t xml:space="preserve"> unnecessary RARs is </w:t>
      </w:r>
      <w:r w:rsidR="000167D9">
        <w:t xml:space="preserve">also </w:t>
      </w:r>
      <w:r w:rsidR="00272D96">
        <w:t>discussed later in this contribution</w:t>
      </w:r>
      <w:r w:rsidRPr="0086563E">
        <w:t>.</w:t>
      </w:r>
    </w:p>
    <w:p w14:paraId="40CF1BB8" w14:textId="5AC71FB3" w:rsidR="00D26FA1" w:rsidRPr="006C3071" w:rsidRDefault="003B0B7F" w:rsidP="00D26FA1">
      <w:pPr>
        <w:jc w:val="both"/>
      </w:pPr>
      <w:r w:rsidRPr="006C3071">
        <w:t>To</w:t>
      </w:r>
      <w:r w:rsidR="00D26FA1" w:rsidRPr="006C3071">
        <w:t xml:space="preserve"> distinguish the two RARs</w:t>
      </w:r>
      <w:r w:rsidRPr="006C3071">
        <w:t xml:space="preserve"> intended for UEs and IAB nodes, the following methods can be applied. </w:t>
      </w:r>
    </w:p>
    <w:p w14:paraId="646733BD" w14:textId="1AC5D8FE" w:rsidR="00D26FA1" w:rsidRPr="006C3071" w:rsidRDefault="003B0B7F" w:rsidP="005B42C7">
      <w:pPr>
        <w:pStyle w:val="ListParagraph"/>
        <w:numPr>
          <w:ilvl w:val="0"/>
          <w:numId w:val="41"/>
        </w:numPr>
        <w:spacing w:after="0" w:line="240" w:lineRule="auto"/>
        <w:ind w:left="360"/>
        <w:jc w:val="both"/>
        <w:rPr>
          <w:rFonts w:ascii="Times New Roman" w:hAnsi="Times New Roman"/>
          <w:sz w:val="20"/>
          <w:szCs w:val="20"/>
        </w:rPr>
      </w:pPr>
      <w:r w:rsidRPr="006C3071">
        <w:rPr>
          <w:rFonts w:ascii="Times New Roman" w:hAnsi="Times New Roman"/>
          <w:sz w:val="20"/>
          <w:szCs w:val="20"/>
        </w:rPr>
        <w:t xml:space="preserve">Differentiate RAR based </w:t>
      </w:r>
      <w:r w:rsidR="00A972A5" w:rsidRPr="006C3071">
        <w:rPr>
          <w:rFonts w:ascii="Times New Roman" w:hAnsi="Times New Roman"/>
          <w:sz w:val="20"/>
          <w:szCs w:val="20"/>
        </w:rPr>
        <w:t>on RA-RNTI</w:t>
      </w:r>
      <w:r w:rsidR="00A972A5">
        <w:rPr>
          <w:rFonts w:ascii="Times New Roman" w:hAnsi="Times New Roman"/>
          <w:sz w:val="20"/>
          <w:szCs w:val="20"/>
        </w:rPr>
        <w:t>.</w:t>
      </w:r>
    </w:p>
    <w:p w14:paraId="79A32868" w14:textId="51DC4288" w:rsidR="005B42C7" w:rsidRPr="006C3071" w:rsidRDefault="00D26FA1" w:rsidP="005B42C7">
      <w:pPr>
        <w:pStyle w:val="ListParagraph"/>
        <w:ind w:left="360"/>
        <w:jc w:val="both"/>
        <w:rPr>
          <w:rFonts w:ascii="Times New Roman" w:hAnsi="Times New Roman"/>
          <w:sz w:val="20"/>
          <w:szCs w:val="20"/>
          <w:lang w:eastAsia="zh-CN"/>
        </w:rPr>
      </w:pPr>
      <w:r w:rsidRPr="006C3071">
        <w:rPr>
          <w:rFonts w:ascii="Times New Roman" w:hAnsi="Times New Roman"/>
          <w:sz w:val="20"/>
          <w:szCs w:val="20"/>
        </w:rPr>
        <w:t>A different RA-RNTI for UEs and IAB nodes can be used to differentiate RARs. A</w:t>
      </w:r>
      <w:r w:rsidRPr="006C3071">
        <w:rPr>
          <w:rFonts w:ascii="Times New Roman" w:hAnsi="Times New Roman"/>
          <w:sz w:val="20"/>
          <w:szCs w:val="20"/>
          <w:lang w:eastAsia="zh-CN"/>
        </w:rPr>
        <w:t xml:space="preserve"> UE or IAB node detects the DCI format 1_0 with the CRC scrambled by the corresponding RA-RNTI and a corresponding PDSCH that includes a DL-SCH transport block within the window, the UE passes the transport block to higher layers. </w:t>
      </w:r>
    </w:p>
    <w:p w14:paraId="47C4FD0A" w14:textId="4E71D9F7" w:rsidR="005B42C7" w:rsidRPr="006C3071" w:rsidRDefault="005B42C7" w:rsidP="005B42C7">
      <w:pPr>
        <w:pStyle w:val="ListParagraph"/>
        <w:numPr>
          <w:ilvl w:val="0"/>
          <w:numId w:val="41"/>
        </w:numPr>
        <w:ind w:left="360"/>
        <w:jc w:val="both"/>
        <w:rPr>
          <w:rFonts w:ascii="Times New Roman" w:hAnsi="Times New Roman"/>
          <w:sz w:val="20"/>
          <w:szCs w:val="20"/>
        </w:rPr>
      </w:pPr>
      <w:r w:rsidRPr="006C3071">
        <w:rPr>
          <w:rFonts w:ascii="Times New Roman" w:hAnsi="Times New Roman"/>
          <w:sz w:val="20"/>
          <w:szCs w:val="20"/>
        </w:rPr>
        <w:t xml:space="preserve">Differentiate based on DCI </w:t>
      </w:r>
    </w:p>
    <w:p w14:paraId="6B2C38E1" w14:textId="77777777" w:rsidR="005B42C7" w:rsidRPr="006C3071" w:rsidRDefault="005B42C7" w:rsidP="005B42C7">
      <w:pPr>
        <w:pStyle w:val="ListParagraph"/>
        <w:spacing w:after="160" w:line="254" w:lineRule="auto"/>
        <w:ind w:left="360"/>
        <w:jc w:val="both"/>
        <w:rPr>
          <w:rFonts w:ascii="Times New Roman" w:hAnsi="Times New Roman"/>
          <w:sz w:val="20"/>
          <w:szCs w:val="20"/>
        </w:rPr>
      </w:pPr>
      <w:r w:rsidRPr="006C3071">
        <w:rPr>
          <w:rFonts w:ascii="Times New Roman" w:hAnsi="Times New Roman"/>
          <w:sz w:val="20"/>
          <w:szCs w:val="20"/>
        </w:rPr>
        <w:t xml:space="preserve">Signaling in the DCI can be used to indicate the IAB and access UE specific RAR. </w:t>
      </w:r>
    </w:p>
    <w:p w14:paraId="1A8EFE2F" w14:textId="00C3BC50" w:rsidR="005B42C7" w:rsidRPr="006C3071" w:rsidRDefault="005B42C7" w:rsidP="005B42C7">
      <w:pPr>
        <w:pStyle w:val="ListParagraph"/>
        <w:spacing w:after="160" w:line="254" w:lineRule="auto"/>
        <w:ind w:left="360"/>
        <w:jc w:val="both"/>
        <w:rPr>
          <w:rFonts w:ascii="Times New Roman" w:hAnsi="Times New Roman"/>
          <w:sz w:val="20"/>
          <w:szCs w:val="20"/>
        </w:rPr>
      </w:pPr>
      <w:r w:rsidRPr="006C3071">
        <w:rPr>
          <w:rFonts w:ascii="Times New Roman" w:hAnsi="Times New Roman"/>
          <w:sz w:val="20"/>
          <w:szCs w:val="20"/>
        </w:rPr>
        <w:t xml:space="preserve">For example, reserved bits in DCI format 1_0 (with CRC scrambled by RA-RNTI) may contain IAB specific details to decode the RAR when it is only intended to IABs. </w:t>
      </w:r>
    </w:p>
    <w:p w14:paraId="09F13ADE" w14:textId="0EE5B2C4" w:rsidR="005B42C7" w:rsidRDefault="005B42C7" w:rsidP="005B42C7">
      <w:pPr>
        <w:pStyle w:val="ListParagraph"/>
        <w:ind w:left="284"/>
        <w:jc w:val="both"/>
        <w:rPr>
          <w:rFonts w:ascii="Times New Roman" w:hAnsi="Times New Roman"/>
          <w:lang w:eastAsia="zh-CN"/>
        </w:rPr>
      </w:pPr>
    </w:p>
    <w:p w14:paraId="255C212E" w14:textId="31D39C5D" w:rsidR="006C3071" w:rsidRPr="00FE2037" w:rsidRDefault="00272D96" w:rsidP="006C3071">
      <w:pPr>
        <w:jc w:val="both"/>
        <w:rPr>
          <w:szCs w:val="22"/>
        </w:rPr>
      </w:pPr>
      <w:r>
        <w:rPr>
          <w:szCs w:val="22"/>
        </w:rPr>
        <w:t xml:space="preserve">As an </w:t>
      </w:r>
      <w:r w:rsidR="00035B9A">
        <w:rPr>
          <w:szCs w:val="22"/>
        </w:rPr>
        <w:t>example,</w:t>
      </w:r>
      <w:r>
        <w:rPr>
          <w:szCs w:val="22"/>
        </w:rPr>
        <w:t xml:space="preserve"> is provided in Figure 3, by considering</w:t>
      </w:r>
      <w:r w:rsidR="006C3071" w:rsidRPr="00FE2037">
        <w:rPr>
          <w:szCs w:val="22"/>
        </w:rPr>
        <w:t xml:space="preserve"> an access network, with zero Correlation Zone Config 5, i.e. </w:t>
      </w:r>
      <w:proofErr w:type="spellStart"/>
      <w:r w:rsidR="006C3071" w:rsidRPr="00FE2037">
        <w:rPr>
          <w:szCs w:val="22"/>
        </w:rPr>
        <w:t>Ncs</w:t>
      </w:r>
      <w:proofErr w:type="spellEnd"/>
      <w:r w:rsidR="006C3071" w:rsidRPr="00FE2037">
        <w:rPr>
          <w:szCs w:val="22"/>
        </w:rPr>
        <w:t xml:space="preserve"> = 10 for the access UEs. There are 13 UE signatures per Root sequence. For 64 signatures, the number of used ZC sequence is 5 as shown in </w:t>
      </w:r>
      <w:r w:rsidR="0039560A">
        <w:rPr>
          <w:szCs w:val="22"/>
        </w:rPr>
        <w:t xml:space="preserve">Figure </w:t>
      </w:r>
      <w:r>
        <w:rPr>
          <w:szCs w:val="22"/>
        </w:rPr>
        <w:t>3</w:t>
      </w:r>
      <w:r w:rsidR="006C3071" w:rsidRPr="00FE2037">
        <w:rPr>
          <w:szCs w:val="22"/>
        </w:rPr>
        <w:t xml:space="preserve">. Assume that the RTT of the IAB nodes is 4 times that of the access UEs. i.e. IAB signature spans 4 UE signatures, hence, each ZC root sequence contains 3 IAB signatures. As shown in </w:t>
      </w:r>
      <w:r>
        <w:rPr>
          <w:szCs w:val="22"/>
        </w:rPr>
        <w:t>3</w:t>
      </w:r>
      <w:r w:rsidR="006C3071" w:rsidRPr="00FE2037">
        <w:rPr>
          <w:szCs w:val="22"/>
        </w:rPr>
        <w:t xml:space="preserve">, there are 15 IAB signatures across the 5 ZC sequences. It should be noted that the </w:t>
      </w:r>
      <w:proofErr w:type="gramStart"/>
      <w:r w:rsidR="0039560A">
        <w:rPr>
          <w:szCs w:val="22"/>
        </w:rPr>
        <w:t>r</w:t>
      </w:r>
      <w:r w:rsidR="006C3071" w:rsidRPr="00FE2037">
        <w:rPr>
          <w:szCs w:val="22"/>
        </w:rPr>
        <w:t xml:space="preserve">andom </w:t>
      </w:r>
      <w:r>
        <w:rPr>
          <w:szCs w:val="22"/>
        </w:rPr>
        <w:t>a</w:t>
      </w:r>
      <w:r w:rsidR="006C3071" w:rsidRPr="00FE2037">
        <w:rPr>
          <w:szCs w:val="22"/>
        </w:rPr>
        <w:t>ccess</w:t>
      </w:r>
      <w:proofErr w:type="gramEnd"/>
      <w:r w:rsidR="006C3071" w:rsidRPr="00FE2037">
        <w:rPr>
          <w:szCs w:val="22"/>
        </w:rPr>
        <w:t xml:space="preserve"> rate for IAB nodes is less than that of access UEs, hence a fewer number of signatures is used for IAB nodes.</w:t>
      </w:r>
    </w:p>
    <w:p w14:paraId="5A71AD76" w14:textId="77777777" w:rsidR="006C3071" w:rsidRDefault="006C3071" w:rsidP="006C3071">
      <w:pPr>
        <w:ind w:left="360"/>
        <w:jc w:val="both"/>
      </w:pPr>
    </w:p>
    <w:p w14:paraId="56187A35" w14:textId="19CD2F4F" w:rsidR="006C3071" w:rsidRDefault="00035B9A" w:rsidP="006C3071">
      <w:pPr>
        <w:keepNext/>
        <w:ind w:left="360"/>
        <w:jc w:val="both"/>
      </w:pPr>
      <w:r>
        <w:object w:dxaOrig="9277" w:dyaOrig="4043" w14:anchorId="5CFB0783">
          <v:shape id="_x0000_i1026" type="#_x0000_t75" style="width:444pt;height:192pt" o:ole="">
            <v:imagedata r:id="rId17" o:title=""/>
          </v:shape>
          <o:OLEObject Type="Embed" ProgID="Visio.Drawing.11" ShapeID="_x0000_i1026" DrawAspect="Content" ObjectID="_1602702701" r:id="rId18"/>
        </w:object>
      </w:r>
    </w:p>
    <w:p w14:paraId="20E3C4A1" w14:textId="0EB70AA4" w:rsidR="006C3071" w:rsidRDefault="00272D96" w:rsidP="0039560A">
      <w:pPr>
        <w:pStyle w:val="ListParagraph"/>
        <w:ind w:left="284"/>
        <w:jc w:val="center"/>
        <w:rPr>
          <w:rFonts w:ascii="Times New Roman" w:hAnsi="Times New Roman"/>
          <w:color w:val="000000" w:themeColor="text1"/>
          <w:sz w:val="20"/>
          <w:szCs w:val="20"/>
        </w:rPr>
      </w:pPr>
      <w:r>
        <w:rPr>
          <w:rFonts w:ascii="Times New Roman" w:hAnsi="Times New Roman"/>
          <w:b/>
          <w:color w:val="000000" w:themeColor="text1"/>
          <w:sz w:val="20"/>
          <w:szCs w:val="20"/>
        </w:rPr>
        <w:t>Figure 3</w:t>
      </w:r>
      <w:r w:rsidR="0039560A" w:rsidRPr="00272D96">
        <w:rPr>
          <w:rFonts w:ascii="Times New Roman" w:hAnsi="Times New Roman"/>
          <w:b/>
          <w:color w:val="000000" w:themeColor="text1"/>
          <w:sz w:val="20"/>
          <w:szCs w:val="20"/>
        </w:rPr>
        <w:t>:</w:t>
      </w:r>
      <w:r w:rsidR="0039560A" w:rsidRPr="0039560A">
        <w:rPr>
          <w:rFonts w:ascii="Times New Roman" w:hAnsi="Times New Roman"/>
          <w:color w:val="000000" w:themeColor="text1"/>
          <w:sz w:val="20"/>
          <w:szCs w:val="20"/>
        </w:rPr>
        <w:t xml:space="preserve"> With </w:t>
      </w:r>
      <w:proofErr w:type="spellStart"/>
      <w:r w:rsidR="0039560A" w:rsidRPr="0039560A">
        <w:rPr>
          <w:rFonts w:ascii="Times New Roman" w:hAnsi="Times New Roman"/>
          <w:color w:val="000000" w:themeColor="text1"/>
          <w:sz w:val="20"/>
          <w:szCs w:val="20"/>
        </w:rPr>
        <w:t>Ncs</w:t>
      </w:r>
      <w:proofErr w:type="spellEnd"/>
      <w:r w:rsidR="0039560A" w:rsidRPr="0039560A">
        <w:rPr>
          <w:rFonts w:ascii="Times New Roman" w:hAnsi="Times New Roman"/>
          <w:color w:val="000000" w:themeColor="text1"/>
          <w:sz w:val="20"/>
          <w:szCs w:val="20"/>
        </w:rPr>
        <w:t xml:space="preserve"> = 10 of UE signatures and RTT of IAB nodes is 4 times that of UEs.</w:t>
      </w:r>
    </w:p>
    <w:p w14:paraId="43F98802" w14:textId="56E39742" w:rsidR="0039560A" w:rsidRDefault="0039560A" w:rsidP="0039560A">
      <w:pPr>
        <w:pStyle w:val="ListParagraph"/>
        <w:ind w:left="284"/>
        <w:jc w:val="center"/>
        <w:rPr>
          <w:rFonts w:ascii="Times New Roman" w:hAnsi="Times New Roman"/>
          <w:color w:val="000000" w:themeColor="text1"/>
          <w:sz w:val="20"/>
          <w:szCs w:val="20"/>
        </w:rPr>
      </w:pPr>
    </w:p>
    <w:p w14:paraId="742E9358" w14:textId="39D7850A" w:rsidR="0039560A" w:rsidRDefault="0039560A" w:rsidP="0039560A">
      <w:pPr>
        <w:pStyle w:val="ListParagraph"/>
        <w:ind w:left="284"/>
        <w:jc w:val="center"/>
        <w:rPr>
          <w:rFonts w:ascii="Times New Roman" w:hAnsi="Times New Roman"/>
          <w:color w:val="000000" w:themeColor="text1"/>
          <w:sz w:val="20"/>
          <w:szCs w:val="20"/>
        </w:rPr>
      </w:pPr>
    </w:p>
    <w:p w14:paraId="0C03D1AD" w14:textId="050FB5BF" w:rsidR="005B42C7" w:rsidRPr="003B0B7F" w:rsidRDefault="00272D96" w:rsidP="00272D96">
      <w:pPr>
        <w:pStyle w:val="Heading2"/>
        <w:rPr>
          <w:lang w:val="en-US"/>
        </w:rPr>
      </w:pPr>
      <w:r>
        <w:t>2.</w:t>
      </w:r>
      <w:r w:rsidR="00425EAD">
        <w:t>3</w:t>
      </w:r>
      <w:r>
        <w:tab/>
      </w:r>
      <w:r w:rsidR="005B42C7">
        <w:t xml:space="preserve">Reserving signatures for </w:t>
      </w:r>
      <w:r w:rsidR="005B42C7" w:rsidRPr="003B0B7F">
        <w:t xml:space="preserve">IAB </w:t>
      </w:r>
      <w:r w:rsidR="005B42C7">
        <w:t>PRACH</w:t>
      </w:r>
    </w:p>
    <w:p w14:paraId="791E152A" w14:textId="2E8BB43F" w:rsidR="00D26FA1" w:rsidRDefault="0039560A" w:rsidP="005B42C7">
      <w:pPr>
        <w:pStyle w:val="ListParagraph"/>
        <w:spacing w:after="160" w:line="254" w:lineRule="auto"/>
        <w:ind w:left="0"/>
        <w:jc w:val="both"/>
        <w:rPr>
          <w:rFonts w:ascii="Times New Roman" w:hAnsi="Times New Roman"/>
          <w:sz w:val="20"/>
        </w:rPr>
      </w:pPr>
      <w:r w:rsidRPr="00272D96">
        <w:rPr>
          <w:rFonts w:ascii="Times New Roman" w:hAnsi="Times New Roman"/>
          <w:sz w:val="20"/>
        </w:rPr>
        <w:t xml:space="preserve"> </w:t>
      </w:r>
      <w:r w:rsidR="00F708BD">
        <w:rPr>
          <w:rFonts w:ascii="Times New Roman" w:hAnsi="Times New Roman"/>
          <w:sz w:val="20"/>
        </w:rPr>
        <w:t xml:space="preserve">For </w:t>
      </w:r>
      <w:r w:rsidRPr="00272D96">
        <w:rPr>
          <w:rFonts w:ascii="Times New Roman" w:hAnsi="Times New Roman"/>
          <w:sz w:val="20"/>
        </w:rPr>
        <w:t>s</w:t>
      </w:r>
      <w:r w:rsidR="00D26FA1" w:rsidRPr="00272D96">
        <w:rPr>
          <w:rFonts w:ascii="Times New Roman" w:hAnsi="Times New Roman"/>
          <w:sz w:val="20"/>
        </w:rPr>
        <w:t>eparating the resources for UEs and IAB nodes</w:t>
      </w:r>
      <w:r w:rsidR="00F708BD">
        <w:rPr>
          <w:rFonts w:ascii="Times New Roman" w:hAnsi="Times New Roman"/>
          <w:sz w:val="20"/>
        </w:rPr>
        <w:t>,</w:t>
      </w:r>
      <w:r w:rsidR="00D26FA1" w:rsidRPr="00272D96">
        <w:rPr>
          <w:rFonts w:ascii="Times New Roman" w:hAnsi="Times New Roman"/>
          <w:sz w:val="20"/>
        </w:rPr>
        <w:t xml:space="preserve"> some of the signatures, signaled as not available for UE selection (i.e. normally reserved for contention less use) </w:t>
      </w:r>
      <w:r w:rsidR="004F3512">
        <w:rPr>
          <w:rFonts w:ascii="Times New Roman" w:hAnsi="Times New Roman"/>
          <w:sz w:val="20"/>
        </w:rPr>
        <w:t>can be</w:t>
      </w:r>
      <w:r w:rsidR="00D26FA1" w:rsidRPr="00272D96">
        <w:rPr>
          <w:rFonts w:ascii="Times New Roman" w:hAnsi="Times New Roman"/>
          <w:sz w:val="20"/>
        </w:rPr>
        <w:t xml:space="preserve"> </w:t>
      </w:r>
      <w:proofErr w:type="gramStart"/>
      <w:r w:rsidR="00D26FA1" w:rsidRPr="00272D96">
        <w:rPr>
          <w:rFonts w:ascii="Times New Roman" w:hAnsi="Times New Roman"/>
          <w:sz w:val="20"/>
        </w:rPr>
        <w:t>actually reserved</w:t>
      </w:r>
      <w:proofErr w:type="gramEnd"/>
      <w:r w:rsidR="00D26FA1" w:rsidRPr="00272D96">
        <w:rPr>
          <w:rFonts w:ascii="Times New Roman" w:hAnsi="Times New Roman"/>
          <w:sz w:val="20"/>
        </w:rPr>
        <w:t xml:space="preserve"> for IAB nodes (either as IAB contention based or dedicated resources). This is depicted in Figure </w:t>
      </w:r>
      <w:r w:rsidR="00272D96">
        <w:rPr>
          <w:rFonts w:ascii="Times New Roman" w:hAnsi="Times New Roman"/>
          <w:sz w:val="20"/>
        </w:rPr>
        <w:t>4</w:t>
      </w:r>
      <w:r w:rsidR="00D26FA1" w:rsidRPr="00272D96">
        <w:rPr>
          <w:rFonts w:ascii="Times New Roman" w:hAnsi="Times New Roman"/>
          <w:sz w:val="20"/>
        </w:rPr>
        <w:t xml:space="preserve"> where the first two signatures of the root sequence n+2 are reserved for an IAB signature supporting longer </w:t>
      </w:r>
      <w:r w:rsidR="00035B9A">
        <w:rPr>
          <w:rFonts w:ascii="Times New Roman" w:hAnsi="Times New Roman"/>
          <w:sz w:val="20"/>
        </w:rPr>
        <w:t>RTT</w:t>
      </w:r>
      <w:r w:rsidR="00D26FA1" w:rsidRPr="00272D96">
        <w:rPr>
          <w:rFonts w:ascii="Times New Roman" w:hAnsi="Times New Roman"/>
          <w:sz w:val="20"/>
        </w:rPr>
        <w:t>.</w:t>
      </w:r>
      <w:r w:rsidR="00F708BD">
        <w:rPr>
          <w:rFonts w:ascii="Times New Roman" w:hAnsi="Times New Roman"/>
          <w:sz w:val="20"/>
        </w:rPr>
        <w:t xml:space="preserve"> </w:t>
      </w:r>
      <w:r w:rsidR="00D26FA1" w:rsidRPr="00272D96">
        <w:rPr>
          <w:rFonts w:ascii="Times New Roman" w:hAnsi="Times New Roman"/>
          <w:sz w:val="20"/>
        </w:rPr>
        <w:t xml:space="preserve">  </w:t>
      </w:r>
    </w:p>
    <w:p w14:paraId="73D35C04" w14:textId="77777777" w:rsidR="00035B9A" w:rsidRPr="00272D96" w:rsidRDefault="00035B9A" w:rsidP="005B42C7">
      <w:pPr>
        <w:pStyle w:val="ListParagraph"/>
        <w:spacing w:after="160" w:line="254" w:lineRule="auto"/>
        <w:ind w:left="0"/>
        <w:jc w:val="both"/>
        <w:rPr>
          <w:rFonts w:ascii="Times New Roman" w:hAnsi="Times New Roman"/>
          <w:sz w:val="20"/>
        </w:rPr>
      </w:pPr>
    </w:p>
    <w:p w14:paraId="46EC61FE" w14:textId="77777777" w:rsidR="00D26FA1" w:rsidRPr="000C459A" w:rsidRDefault="00D26FA1" w:rsidP="00D26FA1">
      <w:pPr>
        <w:pStyle w:val="ListParagraph"/>
        <w:spacing w:after="160" w:line="254" w:lineRule="auto"/>
        <w:ind w:left="0"/>
        <w:contextualSpacing w:val="0"/>
        <w:jc w:val="center"/>
        <w:rPr>
          <w:rFonts w:ascii="Times New Roman" w:hAnsi="Times New Roman"/>
          <w:b/>
        </w:rPr>
      </w:pPr>
      <w:r w:rsidRPr="00DD20D6">
        <w:rPr>
          <w:rFonts w:ascii="Times New Roman" w:hAnsi="Times New Roman"/>
          <w:b/>
          <w:noProof/>
        </w:rPr>
        <w:drawing>
          <wp:inline distT="0" distB="0" distL="0" distR="0" wp14:anchorId="676CA9A2" wp14:editId="48425881">
            <wp:extent cx="4809490" cy="24977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9385" cy="2502925"/>
                    </a:xfrm>
                    <a:prstGeom prst="rect">
                      <a:avLst/>
                    </a:prstGeom>
                    <a:noFill/>
                    <a:ln>
                      <a:noFill/>
                    </a:ln>
                  </pic:spPr>
                </pic:pic>
              </a:graphicData>
            </a:graphic>
          </wp:inline>
        </w:drawing>
      </w:r>
    </w:p>
    <w:p w14:paraId="75781DBE" w14:textId="2802BB53" w:rsidR="00D26FA1" w:rsidRPr="00035B9A" w:rsidRDefault="00D26FA1" w:rsidP="00D26FA1">
      <w:pPr>
        <w:pStyle w:val="ListParagraph"/>
        <w:spacing w:after="160" w:line="254" w:lineRule="auto"/>
        <w:ind w:left="0"/>
        <w:contextualSpacing w:val="0"/>
        <w:jc w:val="center"/>
        <w:rPr>
          <w:rFonts w:ascii="Times New Roman" w:hAnsi="Times New Roman"/>
          <w:sz w:val="20"/>
          <w:szCs w:val="20"/>
        </w:rPr>
      </w:pPr>
      <w:r w:rsidRPr="00035B9A">
        <w:rPr>
          <w:rFonts w:ascii="Times New Roman" w:hAnsi="Times New Roman"/>
          <w:b/>
          <w:sz w:val="20"/>
          <w:szCs w:val="20"/>
        </w:rPr>
        <w:t xml:space="preserve">Figure </w:t>
      </w:r>
      <w:r w:rsidR="00272D96" w:rsidRPr="00035B9A">
        <w:rPr>
          <w:rFonts w:ascii="Times New Roman" w:hAnsi="Times New Roman"/>
          <w:b/>
          <w:sz w:val="20"/>
          <w:szCs w:val="20"/>
        </w:rPr>
        <w:t>4</w:t>
      </w:r>
      <w:r w:rsidRPr="00035B9A">
        <w:rPr>
          <w:rFonts w:ascii="Times New Roman" w:hAnsi="Times New Roman"/>
          <w:b/>
          <w:sz w:val="20"/>
          <w:szCs w:val="20"/>
        </w:rPr>
        <w:t xml:space="preserve">: </w:t>
      </w:r>
      <w:r w:rsidRPr="00035B9A">
        <w:rPr>
          <w:rFonts w:ascii="Times New Roman" w:hAnsi="Times New Roman"/>
          <w:sz w:val="20"/>
          <w:szCs w:val="20"/>
        </w:rPr>
        <w:t>Reserved resources for IAB nodes</w:t>
      </w:r>
    </w:p>
    <w:p w14:paraId="368CFA5C" w14:textId="77777777" w:rsidR="0039560A" w:rsidRPr="000C459A" w:rsidRDefault="0039560A" w:rsidP="00D26FA1">
      <w:pPr>
        <w:pStyle w:val="ListParagraph"/>
        <w:spacing w:after="160" w:line="254" w:lineRule="auto"/>
        <w:ind w:left="0"/>
        <w:contextualSpacing w:val="0"/>
        <w:jc w:val="center"/>
        <w:rPr>
          <w:rFonts w:ascii="Times New Roman" w:hAnsi="Times New Roman"/>
          <w:b/>
        </w:rPr>
      </w:pPr>
    </w:p>
    <w:p w14:paraId="03FC8540" w14:textId="408E9507" w:rsidR="00D26FA1" w:rsidRDefault="00272D96" w:rsidP="00272D96">
      <w:pPr>
        <w:pStyle w:val="Heading2"/>
      </w:pPr>
      <w:r>
        <w:t>2.</w:t>
      </w:r>
      <w:r w:rsidR="00425EAD">
        <w:t>4</w:t>
      </w:r>
      <w:r>
        <w:tab/>
      </w:r>
      <w:r w:rsidR="00D26FA1">
        <w:t>Avoiding unnecessary RARs</w:t>
      </w:r>
    </w:p>
    <w:p w14:paraId="5C278F29" w14:textId="4FC573E2" w:rsidR="00D26FA1" w:rsidRDefault="0039560A" w:rsidP="0039560A">
      <w:pPr>
        <w:pStyle w:val="CommentText"/>
        <w:jc w:val="both"/>
      </w:pPr>
      <w:r w:rsidRPr="00272D96">
        <w:t>A</w:t>
      </w:r>
      <w:r w:rsidR="00D26FA1" w:rsidRPr="00272D96">
        <w:t xml:space="preserve">t the Donor/Parent node, it is also possible to distinguish PRACH of IAB nodes from access UEs by having a higher power target for IAB over access UE preamble. For example, IAB preamble can have a 3 dB higher </w:t>
      </w:r>
      <w:r w:rsidR="00D26FA1" w:rsidRPr="00272D96">
        <w:rPr>
          <w:b/>
          <w:bCs/>
        </w:rPr>
        <w:t xml:space="preserve">target receive </w:t>
      </w:r>
      <w:r w:rsidR="00D26FA1" w:rsidRPr="00272D96">
        <w:t>power level.</w:t>
      </w:r>
      <w:r w:rsidRPr="00272D96">
        <w:t xml:space="preserve"> In this case, t</w:t>
      </w:r>
      <w:r w:rsidR="00D26FA1" w:rsidRPr="00272D96">
        <w:t xml:space="preserve">he UE determines the transmit power based on the path loss and the target receive preamble power. </w:t>
      </w:r>
      <w:r w:rsidRPr="00272D96">
        <w:t>Then, t</w:t>
      </w:r>
      <w:r w:rsidR="00D26FA1" w:rsidRPr="00272D96">
        <w:t>he Donor/Parent node can determine based on the received power if the preamble is coming from IAB node or UE.</w:t>
      </w:r>
      <w:r w:rsidRPr="00272D96">
        <w:t xml:space="preserve"> </w:t>
      </w:r>
      <w:r w:rsidR="00D26FA1" w:rsidRPr="00272D96">
        <w:t xml:space="preserve">Depending on the error in estimating the path loss, it is possible that the received power of the preamble is already a few dB off from the target. However, the offset between target power levels can be adjusted at the IAB node to improve the accuracy of distinguishing two type of PRACH. </w:t>
      </w:r>
    </w:p>
    <w:p w14:paraId="66907123" w14:textId="77777777" w:rsidR="004C59C8" w:rsidRPr="00272D96" w:rsidRDefault="004C59C8" w:rsidP="004C59C8">
      <w:pPr>
        <w:spacing w:after="120"/>
        <w:jc w:val="both"/>
      </w:pPr>
    </w:p>
    <w:p w14:paraId="3DF921E0" w14:textId="4B77E579" w:rsidR="000C3831" w:rsidRDefault="000F77CF" w:rsidP="005C2312">
      <w:pPr>
        <w:pStyle w:val="Heading1"/>
      </w:pPr>
      <w:bookmarkStart w:id="0" w:name="_Toc415085486"/>
      <w:bookmarkStart w:id="1" w:name="_Toc503902229"/>
      <w:r w:rsidRPr="00430E20">
        <w:rPr>
          <w:lang w:val="en-US"/>
        </w:rPr>
        <w:t>3</w:t>
      </w:r>
      <w:r w:rsidR="0067353C" w:rsidRPr="00430E20">
        <w:rPr>
          <w:lang w:val="en-US"/>
        </w:rPr>
        <w:t xml:space="preserve"> </w:t>
      </w:r>
      <w:r w:rsidR="00FA2868">
        <w:rPr>
          <w:lang w:val="en-US"/>
        </w:rPr>
        <w:tab/>
      </w:r>
      <w:r w:rsidR="00373629" w:rsidRPr="00430E20">
        <w:rPr>
          <w:lang w:val="en-US"/>
        </w:rPr>
        <w:t>Conclusion</w:t>
      </w:r>
      <w:bookmarkEnd w:id="0"/>
      <w:bookmarkEnd w:id="1"/>
    </w:p>
    <w:p w14:paraId="009AA94B" w14:textId="3CE17187" w:rsidR="00F708BD" w:rsidRPr="0024647B" w:rsidRDefault="00F86728" w:rsidP="00F708BD">
      <w:pPr>
        <w:spacing w:after="120"/>
        <w:jc w:val="both"/>
        <w:rPr>
          <w:rFonts w:eastAsia="MS Mincho"/>
          <w:lang w:eastAsia="ja-JP"/>
        </w:rPr>
      </w:pPr>
      <w:r>
        <w:rPr>
          <w:rFonts w:eastAsia="MS Mincho"/>
          <w:lang w:eastAsia="ja-JP"/>
        </w:rPr>
        <w:t>Al</w:t>
      </w:r>
      <w:r w:rsidR="00F708BD">
        <w:rPr>
          <w:rFonts w:eastAsia="MS Mincho"/>
          <w:lang w:eastAsia="ja-JP"/>
        </w:rPr>
        <w:t>together, we see the potential of above schemes to use independently or together in IAB networks and propose:</w:t>
      </w:r>
    </w:p>
    <w:p w14:paraId="3EE534EF" w14:textId="77777777" w:rsidR="00F708BD" w:rsidRPr="00035B9A" w:rsidRDefault="00F708BD" w:rsidP="00F708BD">
      <w:pPr>
        <w:spacing w:after="120"/>
        <w:jc w:val="both"/>
      </w:pPr>
      <w:r w:rsidRPr="00035B9A">
        <w:rPr>
          <w:rFonts w:eastAsia="MS Mincho"/>
          <w:b/>
          <w:lang w:eastAsia="ja-JP"/>
        </w:rPr>
        <w:t>Proposal 1</w:t>
      </w:r>
      <w:r w:rsidRPr="00035B9A">
        <w:rPr>
          <w:rFonts w:eastAsia="MS Mincho"/>
          <w:lang w:eastAsia="ja-JP"/>
        </w:rPr>
        <w:t xml:space="preserve">: </w:t>
      </w:r>
      <w:r w:rsidRPr="00035B9A">
        <w:t xml:space="preserve">Multiplexing RACH transmissions of access UEs and </w:t>
      </w:r>
      <w:r>
        <w:t xml:space="preserve">MT </w:t>
      </w:r>
      <w:r w:rsidRPr="00035B9A">
        <w:t xml:space="preserve">IAB nodes on the same RACH resources </w:t>
      </w:r>
      <w:r>
        <w:t>can</w:t>
      </w:r>
      <w:r w:rsidRPr="00035B9A">
        <w:t xml:space="preserve"> be supported by </w:t>
      </w:r>
      <w:r>
        <w:t>independently</w:t>
      </w:r>
      <w:r w:rsidRPr="00035B9A">
        <w:t xml:space="preserve"> </w:t>
      </w:r>
      <w:bookmarkStart w:id="2" w:name="_GoBack"/>
      <w:bookmarkEnd w:id="2"/>
      <w:r w:rsidRPr="00035B9A">
        <w:t xml:space="preserve">or </w:t>
      </w:r>
      <w:r>
        <w:t>jointly by the</w:t>
      </w:r>
      <w:r w:rsidRPr="00035B9A">
        <w:t xml:space="preserve"> following</w:t>
      </w:r>
      <w:r>
        <w:t xml:space="preserve"> methods</w:t>
      </w:r>
      <w:r w:rsidRPr="00035B9A">
        <w:t xml:space="preserve">. </w:t>
      </w:r>
    </w:p>
    <w:p w14:paraId="235362A7" w14:textId="77777777" w:rsidR="00BE7C4C" w:rsidRPr="00035B9A" w:rsidRDefault="00BE7C4C" w:rsidP="00BE7C4C">
      <w:pPr>
        <w:pStyle w:val="ListParagraph"/>
        <w:numPr>
          <w:ilvl w:val="0"/>
          <w:numId w:val="42"/>
        </w:numPr>
        <w:spacing w:after="0" w:line="240" w:lineRule="auto"/>
        <w:jc w:val="both"/>
        <w:rPr>
          <w:rFonts w:ascii="Times New Roman" w:hAnsi="Times New Roman"/>
          <w:sz w:val="20"/>
          <w:szCs w:val="20"/>
        </w:rPr>
      </w:pPr>
      <w:r w:rsidRPr="00035B9A">
        <w:rPr>
          <w:rFonts w:ascii="Times New Roman" w:eastAsia="MS Mincho" w:hAnsi="Times New Roman"/>
          <w:sz w:val="20"/>
          <w:szCs w:val="20"/>
          <w:lang w:eastAsia="ja-JP"/>
        </w:rPr>
        <w:t>Compensate the initial TA for the extended range supported by IAB nodes such that cyclic shift values are the same used by the access UEs.</w:t>
      </w:r>
    </w:p>
    <w:p w14:paraId="7A2C873E" w14:textId="77777777" w:rsidR="00F708BD" w:rsidRPr="00035B9A" w:rsidRDefault="00F708BD" w:rsidP="00F708BD">
      <w:pPr>
        <w:pStyle w:val="ListParagraph"/>
        <w:numPr>
          <w:ilvl w:val="0"/>
          <w:numId w:val="42"/>
        </w:numPr>
        <w:spacing w:after="0" w:line="240" w:lineRule="auto"/>
        <w:jc w:val="both"/>
        <w:rPr>
          <w:rFonts w:ascii="Times New Roman" w:hAnsi="Times New Roman"/>
          <w:sz w:val="20"/>
          <w:szCs w:val="20"/>
        </w:rPr>
      </w:pPr>
      <w:r w:rsidRPr="00035B9A">
        <w:rPr>
          <w:rFonts w:ascii="Times New Roman" w:hAnsi="Times New Roman"/>
          <w:sz w:val="20"/>
          <w:szCs w:val="20"/>
        </w:rPr>
        <w:t>For each ZC root sequence, two cyclic shift values</w:t>
      </w:r>
      <w:r>
        <w:rPr>
          <w:rFonts w:ascii="Times New Roman" w:hAnsi="Times New Roman"/>
          <w:sz w:val="20"/>
          <w:szCs w:val="20"/>
        </w:rPr>
        <w:t xml:space="preserve"> </w:t>
      </w:r>
      <w:r w:rsidRPr="00035B9A">
        <w:rPr>
          <w:rFonts w:ascii="Times New Roman" w:eastAsia="MS Mincho" w:hAnsi="Times New Roman"/>
          <w:sz w:val="20"/>
          <w:szCs w:val="20"/>
          <w:lang w:eastAsia="ja-JP"/>
        </w:rPr>
        <w:t>(</w:t>
      </w:r>
      <w:proofErr w:type="spellStart"/>
      <w:r w:rsidRPr="00035B9A">
        <w:rPr>
          <w:rFonts w:ascii="Times New Roman" w:eastAsia="MS Mincho" w:hAnsi="Times New Roman"/>
          <w:sz w:val="20"/>
          <w:szCs w:val="20"/>
          <w:lang w:eastAsia="ja-JP"/>
        </w:rPr>
        <w:t>Ncs</w:t>
      </w:r>
      <w:proofErr w:type="spellEnd"/>
      <w:r w:rsidRPr="00035B9A">
        <w:rPr>
          <w:rFonts w:ascii="Times New Roman" w:eastAsia="MS Mincho" w:hAnsi="Times New Roman"/>
          <w:sz w:val="20"/>
          <w:szCs w:val="20"/>
          <w:lang w:eastAsia="ja-JP"/>
        </w:rPr>
        <w:t>)</w:t>
      </w:r>
      <w:r w:rsidRPr="00035B9A">
        <w:rPr>
          <w:rFonts w:ascii="Times New Roman" w:hAnsi="Times New Roman"/>
          <w:sz w:val="20"/>
          <w:szCs w:val="20"/>
        </w:rPr>
        <w:t xml:space="preserve"> </w:t>
      </w:r>
      <w:r>
        <w:rPr>
          <w:rFonts w:ascii="Times New Roman" w:hAnsi="Times New Roman"/>
          <w:sz w:val="20"/>
          <w:szCs w:val="20"/>
        </w:rPr>
        <w:t>can be</w:t>
      </w:r>
      <w:r w:rsidRPr="00035B9A">
        <w:rPr>
          <w:rFonts w:ascii="Times New Roman" w:hAnsi="Times New Roman"/>
          <w:sz w:val="20"/>
          <w:szCs w:val="20"/>
        </w:rPr>
        <w:t xml:space="preserve"> defined for UEs and IAB nodes. Donor/Parent node differentiate </w:t>
      </w:r>
      <w:r>
        <w:rPr>
          <w:rFonts w:ascii="Times New Roman" w:hAnsi="Times New Roman"/>
          <w:sz w:val="20"/>
          <w:szCs w:val="20"/>
        </w:rPr>
        <w:t xml:space="preserve">the </w:t>
      </w:r>
      <w:r w:rsidRPr="00035B9A">
        <w:rPr>
          <w:rFonts w:ascii="Times New Roman" w:hAnsi="Times New Roman"/>
          <w:sz w:val="20"/>
          <w:szCs w:val="20"/>
        </w:rPr>
        <w:t xml:space="preserve">RAR based on the RA-RNTI or DCI signaling used for UEs and IAB nodes. </w:t>
      </w:r>
    </w:p>
    <w:p w14:paraId="194D4E3C" w14:textId="77777777" w:rsidR="00F708BD" w:rsidRPr="00035B9A" w:rsidRDefault="00F708BD" w:rsidP="00F708BD">
      <w:pPr>
        <w:pStyle w:val="ListParagraph"/>
        <w:numPr>
          <w:ilvl w:val="0"/>
          <w:numId w:val="42"/>
        </w:numPr>
        <w:spacing w:after="0" w:line="240" w:lineRule="auto"/>
        <w:jc w:val="both"/>
        <w:rPr>
          <w:rFonts w:ascii="Times New Roman" w:hAnsi="Times New Roman"/>
          <w:sz w:val="20"/>
          <w:szCs w:val="20"/>
        </w:rPr>
      </w:pPr>
      <w:r w:rsidRPr="00035B9A">
        <w:rPr>
          <w:rFonts w:ascii="Times New Roman" w:hAnsi="Times New Roman"/>
          <w:sz w:val="20"/>
          <w:szCs w:val="20"/>
        </w:rPr>
        <w:t>Some of the signatures</w:t>
      </w:r>
      <w:r>
        <w:rPr>
          <w:rFonts w:ascii="Times New Roman" w:hAnsi="Times New Roman"/>
          <w:sz w:val="20"/>
          <w:szCs w:val="20"/>
        </w:rPr>
        <w:t xml:space="preserve"> are reserved for IAB PRACH and not used by the access UEs. </w:t>
      </w:r>
    </w:p>
    <w:p w14:paraId="45BF1F40" w14:textId="77777777" w:rsidR="00F708BD" w:rsidRPr="00035B9A" w:rsidRDefault="00F708BD" w:rsidP="00F708BD">
      <w:pPr>
        <w:pStyle w:val="ListParagraph"/>
        <w:numPr>
          <w:ilvl w:val="0"/>
          <w:numId w:val="42"/>
        </w:numPr>
        <w:spacing w:after="0" w:line="240" w:lineRule="auto"/>
        <w:jc w:val="both"/>
        <w:rPr>
          <w:rFonts w:ascii="Times New Roman" w:hAnsi="Times New Roman"/>
          <w:sz w:val="20"/>
          <w:szCs w:val="20"/>
        </w:rPr>
      </w:pPr>
      <w:r w:rsidRPr="00035B9A">
        <w:rPr>
          <w:rFonts w:ascii="Times New Roman" w:hAnsi="Times New Roman"/>
          <w:sz w:val="20"/>
          <w:szCs w:val="20"/>
        </w:rPr>
        <w:t>Distinguish PRACH of IAB nodes from access UEs by having a higher power target for IAB over access UE preamble.</w:t>
      </w:r>
    </w:p>
    <w:p w14:paraId="78C79D89" w14:textId="77777777" w:rsidR="00272D96" w:rsidRDefault="00272D96" w:rsidP="005437A0">
      <w:pPr>
        <w:rPr>
          <w:lang w:val="en-US"/>
        </w:rPr>
      </w:pPr>
    </w:p>
    <w:p w14:paraId="12EBA1BE" w14:textId="77777777" w:rsidR="000C3831" w:rsidRPr="00A51522" w:rsidRDefault="000C3831" w:rsidP="000C3831">
      <w:pPr>
        <w:pStyle w:val="Heading1"/>
      </w:pPr>
      <w:r w:rsidRPr="00A51522">
        <w:t xml:space="preserve">References </w:t>
      </w:r>
    </w:p>
    <w:p w14:paraId="699CDC93" w14:textId="41C6E572" w:rsidR="008E6BD3" w:rsidRPr="008E6BD3" w:rsidRDefault="008E6BD3" w:rsidP="008E6BD3">
      <w:pPr>
        <w:numPr>
          <w:ilvl w:val="0"/>
          <w:numId w:val="22"/>
        </w:numPr>
        <w:overflowPunct w:val="0"/>
        <w:autoSpaceDE w:val="0"/>
        <w:autoSpaceDN w:val="0"/>
        <w:adjustRightInd w:val="0"/>
        <w:textAlignment w:val="baseline"/>
        <w:rPr>
          <w:szCs w:val="18"/>
        </w:rPr>
      </w:pPr>
      <w:bookmarkStart w:id="3" w:name="_Ref525649415"/>
      <w:r w:rsidRPr="008E6BD3">
        <w:rPr>
          <w:i/>
          <w:iCs/>
          <w:szCs w:val="18"/>
        </w:rPr>
        <w:t xml:space="preserve">Draft Report of 3GPP TSG RAN WG1 #93 v0.2.0 </w:t>
      </w:r>
      <w:bookmarkEnd w:id="3"/>
    </w:p>
    <w:p w14:paraId="584BEA2F" w14:textId="17C38685" w:rsidR="008E6BD3" w:rsidRPr="008E6BD3" w:rsidRDefault="008E6BD3" w:rsidP="008E6BD3">
      <w:pPr>
        <w:numPr>
          <w:ilvl w:val="0"/>
          <w:numId w:val="22"/>
        </w:numPr>
        <w:overflowPunct w:val="0"/>
        <w:autoSpaceDE w:val="0"/>
        <w:autoSpaceDN w:val="0"/>
        <w:adjustRightInd w:val="0"/>
        <w:textAlignment w:val="baseline"/>
        <w:rPr>
          <w:szCs w:val="18"/>
        </w:rPr>
      </w:pPr>
      <w:r w:rsidRPr="008E6BD3">
        <w:rPr>
          <w:i/>
          <w:iCs/>
          <w:szCs w:val="18"/>
        </w:rPr>
        <w:t>Draft Report of 3GPP TSG RAN WG1 #9</w:t>
      </w:r>
      <w:r>
        <w:rPr>
          <w:i/>
          <w:iCs/>
          <w:szCs w:val="18"/>
        </w:rPr>
        <w:t>4</w:t>
      </w:r>
      <w:r w:rsidRPr="008E6BD3">
        <w:rPr>
          <w:i/>
          <w:iCs/>
          <w:szCs w:val="18"/>
        </w:rPr>
        <w:t xml:space="preserve"> v0.2.0 </w:t>
      </w:r>
    </w:p>
    <w:p w14:paraId="7363E530" w14:textId="66E5F907" w:rsidR="008E6BD3" w:rsidRPr="008E6BD3" w:rsidRDefault="008E6BD3" w:rsidP="008E6BD3">
      <w:pPr>
        <w:numPr>
          <w:ilvl w:val="0"/>
          <w:numId w:val="22"/>
        </w:numPr>
        <w:overflowPunct w:val="0"/>
        <w:autoSpaceDE w:val="0"/>
        <w:autoSpaceDN w:val="0"/>
        <w:adjustRightInd w:val="0"/>
        <w:textAlignment w:val="baseline"/>
        <w:rPr>
          <w:szCs w:val="18"/>
        </w:rPr>
      </w:pPr>
      <w:r w:rsidRPr="008E6BD3">
        <w:rPr>
          <w:i/>
          <w:iCs/>
          <w:szCs w:val="18"/>
        </w:rPr>
        <w:t>Draft Report of 3GPP TSG RAN WG1 #9</w:t>
      </w:r>
      <w:r>
        <w:rPr>
          <w:i/>
          <w:iCs/>
          <w:szCs w:val="18"/>
        </w:rPr>
        <w:t>4bis</w:t>
      </w:r>
      <w:r w:rsidRPr="008E6BD3">
        <w:rPr>
          <w:i/>
          <w:iCs/>
          <w:szCs w:val="18"/>
        </w:rPr>
        <w:t xml:space="preserve"> v0.2.0 </w:t>
      </w:r>
    </w:p>
    <w:p w14:paraId="065D0B6D" w14:textId="77777777" w:rsidR="008E6BD3" w:rsidRPr="006C524F" w:rsidRDefault="008E6BD3" w:rsidP="008E6BD3">
      <w:pPr>
        <w:overflowPunct w:val="0"/>
        <w:autoSpaceDE w:val="0"/>
        <w:autoSpaceDN w:val="0"/>
        <w:adjustRightInd w:val="0"/>
        <w:ind w:left="357"/>
        <w:textAlignment w:val="baseline"/>
        <w:rPr>
          <w:sz w:val="18"/>
          <w:szCs w:val="18"/>
        </w:rPr>
      </w:pPr>
    </w:p>
    <w:p w14:paraId="659AE5F7" w14:textId="77777777" w:rsidR="001F4E52" w:rsidRPr="00987B72" w:rsidRDefault="001F4E52" w:rsidP="009D6FAA"/>
    <w:sectPr w:rsidR="001F4E52" w:rsidRPr="00987B72"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D4F3E" w14:textId="77777777" w:rsidR="000055F9" w:rsidRDefault="000055F9">
      <w:r>
        <w:separator/>
      </w:r>
    </w:p>
  </w:endnote>
  <w:endnote w:type="continuationSeparator" w:id="0">
    <w:p w14:paraId="4E3EF471" w14:textId="77777777" w:rsidR="000055F9" w:rsidRDefault="0000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9DB09" w14:textId="77777777" w:rsidR="00A5547C" w:rsidRDefault="00A5547C">
    <w:pPr>
      <w:pStyle w:val="Footer"/>
    </w:pPr>
    <w:r>
      <mc:AlternateContent>
        <mc:Choice Requires="wps">
          <w:drawing>
            <wp:anchor distT="0" distB="0" distL="114300" distR="114300" simplePos="0" relativeHeight="251659264" behindDoc="0" locked="0" layoutInCell="0" allowOverlap="1" wp14:anchorId="5D3BB846" wp14:editId="5719308B">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681989" w14:textId="77777777"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3BB846"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7C681989" w14:textId="77777777"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0CA9B" w14:textId="77777777" w:rsidR="000055F9" w:rsidRDefault="000055F9">
      <w:r>
        <w:separator/>
      </w:r>
    </w:p>
  </w:footnote>
  <w:footnote w:type="continuationSeparator" w:id="0">
    <w:p w14:paraId="3CE27A32" w14:textId="77777777" w:rsidR="000055F9" w:rsidRDefault="0000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3E417"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754B"/>
    <w:multiLevelType w:val="hybridMultilevel"/>
    <w:tmpl w:val="3C26E1FA"/>
    <w:lvl w:ilvl="0" w:tplc="B9D23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7886"/>
    <w:multiLevelType w:val="hybridMultilevel"/>
    <w:tmpl w:val="963ABE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93FEF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817FE"/>
    <w:multiLevelType w:val="hybridMultilevel"/>
    <w:tmpl w:val="BA3C1CD0"/>
    <w:lvl w:ilvl="0" w:tplc="7C568D7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2130B"/>
    <w:multiLevelType w:val="hybridMultilevel"/>
    <w:tmpl w:val="E60288A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123A96"/>
    <w:multiLevelType w:val="hybridMultilevel"/>
    <w:tmpl w:val="A266AC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EB305B"/>
    <w:multiLevelType w:val="hybridMultilevel"/>
    <w:tmpl w:val="88FA5D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FA26B1"/>
    <w:multiLevelType w:val="hybridMultilevel"/>
    <w:tmpl w:val="C09E2016"/>
    <w:lvl w:ilvl="0" w:tplc="04A0D3A4">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D43EE3"/>
    <w:multiLevelType w:val="multilevel"/>
    <w:tmpl w:val="B9660890"/>
    <w:lvl w:ilvl="0">
      <w:start w:val="1"/>
      <w:numFmt w:val="bullet"/>
      <w:lvlText w:val=""/>
      <w:lvlJc w:val="left"/>
      <w:pPr>
        <w:ind w:left="704" w:hanging="420"/>
      </w:pPr>
      <w:rPr>
        <w:rFonts w:ascii="Symbol" w:hAnsi="Symbol" w:hint="default"/>
        <w:sz w:val="20"/>
        <w:szCs w:val="20"/>
      </w:rPr>
    </w:lvl>
    <w:lvl w:ilvl="1">
      <w:start w:val="1"/>
      <w:numFmt w:val="bullet"/>
      <w:lvlText w:val=""/>
      <w:lvlJc w:val="left"/>
      <w:pPr>
        <w:tabs>
          <w:tab w:val="left" w:pos="1124"/>
        </w:tabs>
        <w:ind w:left="1124" w:hanging="420"/>
      </w:pPr>
      <w:rPr>
        <w:rFonts w:ascii="Symbol" w:hAnsi="Symbol" w:hint="default"/>
        <w:sz w:val="20"/>
        <w:szCs w:val="20"/>
      </w:rPr>
    </w:lvl>
    <w:lvl w:ilvl="2">
      <w:start w:val="1"/>
      <w:numFmt w:val="bullet"/>
      <w:lvlText w:val=""/>
      <w:lvlJc w:val="left"/>
      <w:pPr>
        <w:tabs>
          <w:tab w:val="left" w:pos="1544"/>
        </w:tabs>
        <w:ind w:left="1544" w:hanging="420"/>
      </w:pPr>
      <w:rPr>
        <w:rFonts w:ascii="Symbol" w:hAnsi="Symbol" w:hint="default"/>
        <w:sz w:val="20"/>
        <w:szCs w:val="20"/>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62E4"/>
    <w:multiLevelType w:val="hybridMultilevel"/>
    <w:tmpl w:val="78BC4F88"/>
    <w:lvl w:ilvl="0" w:tplc="16B0A3F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44858"/>
    <w:multiLevelType w:val="hybridMultilevel"/>
    <w:tmpl w:val="4AB8F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C67B8D"/>
    <w:multiLevelType w:val="hybridMultilevel"/>
    <w:tmpl w:val="686A3E84"/>
    <w:lvl w:ilvl="0" w:tplc="865611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36FEB"/>
    <w:multiLevelType w:val="hybridMultilevel"/>
    <w:tmpl w:val="AA505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017679"/>
    <w:multiLevelType w:val="hybridMultilevel"/>
    <w:tmpl w:val="B8D0AEA6"/>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D575B7"/>
    <w:multiLevelType w:val="hybridMultilevel"/>
    <w:tmpl w:val="A31CFD72"/>
    <w:lvl w:ilvl="0" w:tplc="4152395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4B4BC9"/>
    <w:multiLevelType w:val="hybridMultilevel"/>
    <w:tmpl w:val="358E023E"/>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6A4414"/>
    <w:multiLevelType w:val="hybridMultilevel"/>
    <w:tmpl w:val="EA9287CA"/>
    <w:lvl w:ilvl="0" w:tplc="04090003">
      <w:start w:val="1"/>
      <w:numFmt w:val="bullet"/>
      <w:lvlText w:val="o"/>
      <w:lvlJc w:val="left"/>
      <w:pPr>
        <w:ind w:left="360" w:hanging="360"/>
      </w:pPr>
      <w:rPr>
        <w:rFonts w:ascii="Courier New" w:hAnsi="Courier New" w:cs="Courier New"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F146F2"/>
    <w:multiLevelType w:val="hybridMultilevel"/>
    <w:tmpl w:val="BF107032"/>
    <w:lvl w:ilvl="0" w:tplc="AE8487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D72E3"/>
    <w:multiLevelType w:val="hybridMultilevel"/>
    <w:tmpl w:val="963ABE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4A0AB4"/>
    <w:multiLevelType w:val="hybridMultilevel"/>
    <w:tmpl w:val="AC8E4C92"/>
    <w:lvl w:ilvl="0" w:tplc="A2A8B3EA">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A22E46"/>
    <w:multiLevelType w:val="hybridMultilevel"/>
    <w:tmpl w:val="BEB6F65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F42707"/>
    <w:multiLevelType w:val="multilevel"/>
    <w:tmpl w:val="F620C88C"/>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D62A51"/>
    <w:multiLevelType w:val="hybridMultilevel"/>
    <w:tmpl w:val="E0CEB950"/>
    <w:lvl w:ilvl="0" w:tplc="E75C58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3F2A5A"/>
    <w:multiLevelType w:val="hybridMultilevel"/>
    <w:tmpl w:val="0B46F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831C6"/>
    <w:multiLevelType w:val="hybridMultilevel"/>
    <w:tmpl w:val="4FD63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3018BD"/>
    <w:multiLevelType w:val="hybridMultilevel"/>
    <w:tmpl w:val="988A7EDE"/>
    <w:lvl w:ilvl="0" w:tplc="A006A9E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D8166B"/>
    <w:multiLevelType w:val="hybridMultilevel"/>
    <w:tmpl w:val="963ABE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433E8"/>
    <w:multiLevelType w:val="hybridMultilevel"/>
    <w:tmpl w:val="AA32F390"/>
    <w:lvl w:ilvl="0" w:tplc="E1283F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62BD9"/>
    <w:multiLevelType w:val="hybridMultilevel"/>
    <w:tmpl w:val="D41E04EC"/>
    <w:lvl w:ilvl="0" w:tplc="64A6A7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8F0BA1"/>
    <w:multiLevelType w:val="hybridMultilevel"/>
    <w:tmpl w:val="784EA42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27"/>
  </w:num>
  <w:num w:numId="4">
    <w:abstractNumId w:val="45"/>
  </w:num>
  <w:num w:numId="5">
    <w:abstractNumId w:val="28"/>
  </w:num>
  <w:num w:numId="6">
    <w:abstractNumId w:val="25"/>
  </w:num>
  <w:num w:numId="7">
    <w:abstractNumId w:val="6"/>
  </w:num>
  <w:num w:numId="8">
    <w:abstractNumId w:val="42"/>
  </w:num>
  <w:num w:numId="9">
    <w:abstractNumId w:val="22"/>
  </w:num>
  <w:num w:numId="10">
    <w:abstractNumId w:val="10"/>
  </w:num>
  <w:num w:numId="11">
    <w:abstractNumId w:val="33"/>
  </w:num>
  <w:num w:numId="12">
    <w:abstractNumId w:val="23"/>
  </w:num>
  <w:num w:numId="13">
    <w:abstractNumId w:val="3"/>
  </w:num>
  <w:num w:numId="14">
    <w:abstractNumId w:val="34"/>
  </w:num>
  <w:num w:numId="15">
    <w:abstractNumId w:val="8"/>
  </w:num>
  <w:num w:numId="16">
    <w:abstractNumId w:val="39"/>
  </w:num>
  <w:num w:numId="17">
    <w:abstractNumId w:val="43"/>
  </w:num>
  <w:num w:numId="18">
    <w:abstractNumId w:val="17"/>
  </w:num>
  <w:num w:numId="19">
    <w:abstractNumId w:val="14"/>
  </w:num>
  <w:num w:numId="20">
    <w:abstractNumId w:val="12"/>
  </w:num>
  <w:num w:numId="21">
    <w:abstractNumId w:val="32"/>
  </w:num>
  <w:num w:numId="22">
    <w:abstractNumId w:val="19"/>
  </w:num>
  <w:num w:numId="23">
    <w:abstractNumId w:val="37"/>
  </w:num>
  <w:num w:numId="24">
    <w:abstractNumId w:val="36"/>
  </w:num>
  <w:num w:numId="25">
    <w:abstractNumId w:val="26"/>
  </w:num>
  <w:num w:numId="26">
    <w:abstractNumId w:val="29"/>
  </w:num>
  <w:num w:numId="27">
    <w:abstractNumId w:val="9"/>
  </w:num>
  <w:num w:numId="28">
    <w:abstractNumId w:val="35"/>
  </w:num>
  <w:num w:numId="29">
    <w:abstractNumId w:val="5"/>
  </w:num>
  <w:num w:numId="30">
    <w:abstractNumId w:val="30"/>
  </w:num>
  <w:num w:numId="31">
    <w:abstractNumId w:val="44"/>
  </w:num>
  <w:num w:numId="32">
    <w:abstractNumId w:val="20"/>
  </w:num>
  <w:num w:numId="33">
    <w:abstractNumId w:val="16"/>
  </w:num>
  <w:num w:numId="34">
    <w:abstractNumId w:val="21"/>
  </w:num>
  <w:num w:numId="35">
    <w:abstractNumId w:val="11"/>
  </w:num>
  <w:num w:numId="36">
    <w:abstractNumId w:val="13"/>
  </w:num>
  <w:num w:numId="37">
    <w:abstractNumId w:val="38"/>
  </w:num>
  <w:num w:numId="38">
    <w:abstractNumId w:val="4"/>
  </w:num>
  <w:num w:numId="39">
    <w:abstractNumId w:val="15"/>
  </w:num>
  <w:num w:numId="40">
    <w:abstractNumId w:val="7"/>
  </w:num>
  <w:num w:numId="41">
    <w:abstractNumId w:val="2"/>
  </w:num>
  <w:num w:numId="42">
    <w:abstractNumId w:val="40"/>
  </w:num>
  <w:num w:numId="43">
    <w:abstractNumId w:val="24"/>
  </w:num>
  <w:num w:numId="44">
    <w:abstractNumId w:val="1"/>
  </w:num>
  <w:num w:numId="45">
    <w:abstractNumId w:val="0"/>
  </w:num>
  <w:num w:numId="46">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F9"/>
    <w:rsid w:val="00005934"/>
    <w:rsid w:val="00006E3A"/>
    <w:rsid w:val="00011D53"/>
    <w:rsid w:val="000167D9"/>
    <w:rsid w:val="00022E4A"/>
    <w:rsid w:val="000231E2"/>
    <w:rsid w:val="00027662"/>
    <w:rsid w:val="00035B9A"/>
    <w:rsid w:val="000365A8"/>
    <w:rsid w:val="00040959"/>
    <w:rsid w:val="00040D4F"/>
    <w:rsid w:val="000413DC"/>
    <w:rsid w:val="00043A85"/>
    <w:rsid w:val="000474DD"/>
    <w:rsid w:val="00050741"/>
    <w:rsid w:val="00052675"/>
    <w:rsid w:val="000571B5"/>
    <w:rsid w:val="00061A26"/>
    <w:rsid w:val="0006342A"/>
    <w:rsid w:val="000635E2"/>
    <w:rsid w:val="00070EB1"/>
    <w:rsid w:val="00076B4E"/>
    <w:rsid w:val="000825EE"/>
    <w:rsid w:val="00083C37"/>
    <w:rsid w:val="00085544"/>
    <w:rsid w:val="000871A0"/>
    <w:rsid w:val="00090EB7"/>
    <w:rsid w:val="00091BC0"/>
    <w:rsid w:val="0009351C"/>
    <w:rsid w:val="00095FCB"/>
    <w:rsid w:val="00096B2A"/>
    <w:rsid w:val="00096D36"/>
    <w:rsid w:val="000A1204"/>
    <w:rsid w:val="000A1747"/>
    <w:rsid w:val="000A2D15"/>
    <w:rsid w:val="000A5A58"/>
    <w:rsid w:val="000A6394"/>
    <w:rsid w:val="000B023C"/>
    <w:rsid w:val="000B0638"/>
    <w:rsid w:val="000B7FED"/>
    <w:rsid w:val="000C038A"/>
    <w:rsid w:val="000C3831"/>
    <w:rsid w:val="000C6598"/>
    <w:rsid w:val="000D0676"/>
    <w:rsid w:val="000D4974"/>
    <w:rsid w:val="000D52DA"/>
    <w:rsid w:val="000D5570"/>
    <w:rsid w:val="000D5ECC"/>
    <w:rsid w:val="000D61CA"/>
    <w:rsid w:val="000F77CF"/>
    <w:rsid w:val="00100942"/>
    <w:rsid w:val="00101968"/>
    <w:rsid w:val="0010609C"/>
    <w:rsid w:val="00107B83"/>
    <w:rsid w:val="0011226F"/>
    <w:rsid w:val="0011292D"/>
    <w:rsid w:val="00112D64"/>
    <w:rsid w:val="00113881"/>
    <w:rsid w:val="00114495"/>
    <w:rsid w:val="0011468B"/>
    <w:rsid w:val="00115568"/>
    <w:rsid w:val="00124C57"/>
    <w:rsid w:val="00125CEF"/>
    <w:rsid w:val="00133960"/>
    <w:rsid w:val="00145D43"/>
    <w:rsid w:val="00145F7E"/>
    <w:rsid w:val="00147A6B"/>
    <w:rsid w:val="00147DD3"/>
    <w:rsid w:val="00150558"/>
    <w:rsid w:val="00153795"/>
    <w:rsid w:val="00154C33"/>
    <w:rsid w:val="00155F82"/>
    <w:rsid w:val="00156210"/>
    <w:rsid w:val="00165C5D"/>
    <w:rsid w:val="00171583"/>
    <w:rsid w:val="00173F96"/>
    <w:rsid w:val="00175919"/>
    <w:rsid w:val="00181B48"/>
    <w:rsid w:val="00184977"/>
    <w:rsid w:val="00187F7B"/>
    <w:rsid w:val="001905E3"/>
    <w:rsid w:val="00191481"/>
    <w:rsid w:val="00192C46"/>
    <w:rsid w:val="00192CD3"/>
    <w:rsid w:val="001955B0"/>
    <w:rsid w:val="00195697"/>
    <w:rsid w:val="00195A0D"/>
    <w:rsid w:val="00196A47"/>
    <w:rsid w:val="001A08B3"/>
    <w:rsid w:val="001A29C5"/>
    <w:rsid w:val="001A4A72"/>
    <w:rsid w:val="001A6632"/>
    <w:rsid w:val="001A6A7F"/>
    <w:rsid w:val="001A7B60"/>
    <w:rsid w:val="001B07B3"/>
    <w:rsid w:val="001B15AD"/>
    <w:rsid w:val="001B27F8"/>
    <w:rsid w:val="001B51DC"/>
    <w:rsid w:val="001B52F0"/>
    <w:rsid w:val="001B6FB4"/>
    <w:rsid w:val="001B75BA"/>
    <w:rsid w:val="001B7A65"/>
    <w:rsid w:val="001C07AC"/>
    <w:rsid w:val="001C7166"/>
    <w:rsid w:val="001D0245"/>
    <w:rsid w:val="001D7ED2"/>
    <w:rsid w:val="001E21F9"/>
    <w:rsid w:val="001E41F3"/>
    <w:rsid w:val="001E6C6A"/>
    <w:rsid w:val="001F1325"/>
    <w:rsid w:val="001F4E52"/>
    <w:rsid w:val="001F7512"/>
    <w:rsid w:val="002024F2"/>
    <w:rsid w:val="002034EF"/>
    <w:rsid w:val="002038B1"/>
    <w:rsid w:val="00211D6F"/>
    <w:rsid w:val="00215E1A"/>
    <w:rsid w:val="00222B31"/>
    <w:rsid w:val="002234F4"/>
    <w:rsid w:val="002238D7"/>
    <w:rsid w:val="00224068"/>
    <w:rsid w:val="00224F2D"/>
    <w:rsid w:val="00225E90"/>
    <w:rsid w:val="00225F20"/>
    <w:rsid w:val="00226DB4"/>
    <w:rsid w:val="00231367"/>
    <w:rsid w:val="002330AD"/>
    <w:rsid w:val="00234198"/>
    <w:rsid w:val="00241430"/>
    <w:rsid w:val="00244469"/>
    <w:rsid w:val="002517DC"/>
    <w:rsid w:val="00252D85"/>
    <w:rsid w:val="002575F7"/>
    <w:rsid w:val="0026004D"/>
    <w:rsid w:val="00262439"/>
    <w:rsid w:val="00262916"/>
    <w:rsid w:val="002640DD"/>
    <w:rsid w:val="0026587C"/>
    <w:rsid w:val="0026751B"/>
    <w:rsid w:val="00270A7F"/>
    <w:rsid w:val="00272D96"/>
    <w:rsid w:val="00275D12"/>
    <w:rsid w:val="002769B8"/>
    <w:rsid w:val="0028171B"/>
    <w:rsid w:val="002844AA"/>
    <w:rsid w:val="00284B8C"/>
    <w:rsid w:val="00284FEB"/>
    <w:rsid w:val="002860C4"/>
    <w:rsid w:val="002903C7"/>
    <w:rsid w:val="00297369"/>
    <w:rsid w:val="002A002E"/>
    <w:rsid w:val="002A0CB3"/>
    <w:rsid w:val="002A145C"/>
    <w:rsid w:val="002A33D8"/>
    <w:rsid w:val="002A3FF8"/>
    <w:rsid w:val="002A5CD7"/>
    <w:rsid w:val="002A62D6"/>
    <w:rsid w:val="002B0117"/>
    <w:rsid w:val="002B0607"/>
    <w:rsid w:val="002B3F4B"/>
    <w:rsid w:val="002B4300"/>
    <w:rsid w:val="002B4EEE"/>
    <w:rsid w:val="002B5155"/>
    <w:rsid w:val="002B5741"/>
    <w:rsid w:val="002B7D41"/>
    <w:rsid w:val="002C0A49"/>
    <w:rsid w:val="002C3CCD"/>
    <w:rsid w:val="002D01F6"/>
    <w:rsid w:val="002D2559"/>
    <w:rsid w:val="002D36DB"/>
    <w:rsid w:val="002D6DF5"/>
    <w:rsid w:val="002D7B64"/>
    <w:rsid w:val="002D7EE4"/>
    <w:rsid w:val="002E0D33"/>
    <w:rsid w:val="002E751E"/>
    <w:rsid w:val="002E754B"/>
    <w:rsid w:val="002F0FAD"/>
    <w:rsid w:val="002F3C34"/>
    <w:rsid w:val="002F4295"/>
    <w:rsid w:val="002F5642"/>
    <w:rsid w:val="002F7B2B"/>
    <w:rsid w:val="00302CF6"/>
    <w:rsid w:val="00303FC5"/>
    <w:rsid w:val="00304C9E"/>
    <w:rsid w:val="00305409"/>
    <w:rsid w:val="003103D2"/>
    <w:rsid w:val="00317119"/>
    <w:rsid w:val="00317B6A"/>
    <w:rsid w:val="0032013C"/>
    <w:rsid w:val="00320FD2"/>
    <w:rsid w:val="003226A3"/>
    <w:rsid w:val="00325008"/>
    <w:rsid w:val="00333DBC"/>
    <w:rsid w:val="00335872"/>
    <w:rsid w:val="0034223E"/>
    <w:rsid w:val="00343972"/>
    <w:rsid w:val="00346836"/>
    <w:rsid w:val="00354843"/>
    <w:rsid w:val="003609EF"/>
    <w:rsid w:val="00360C21"/>
    <w:rsid w:val="0036144B"/>
    <w:rsid w:val="00361477"/>
    <w:rsid w:val="0036231A"/>
    <w:rsid w:val="00362B76"/>
    <w:rsid w:val="0037060E"/>
    <w:rsid w:val="00372DA4"/>
    <w:rsid w:val="003731FA"/>
    <w:rsid w:val="00373629"/>
    <w:rsid w:val="00373D07"/>
    <w:rsid w:val="00377181"/>
    <w:rsid w:val="00387D73"/>
    <w:rsid w:val="003911A4"/>
    <w:rsid w:val="00394761"/>
    <w:rsid w:val="00394AE8"/>
    <w:rsid w:val="0039560A"/>
    <w:rsid w:val="0039580E"/>
    <w:rsid w:val="003A014C"/>
    <w:rsid w:val="003A55EC"/>
    <w:rsid w:val="003A5BC1"/>
    <w:rsid w:val="003B0B7F"/>
    <w:rsid w:val="003C3C85"/>
    <w:rsid w:val="003C5AAC"/>
    <w:rsid w:val="003D0A44"/>
    <w:rsid w:val="003D4ED7"/>
    <w:rsid w:val="003E1A36"/>
    <w:rsid w:val="003E2A1D"/>
    <w:rsid w:val="003E65BC"/>
    <w:rsid w:val="00400928"/>
    <w:rsid w:val="0040131D"/>
    <w:rsid w:val="00402359"/>
    <w:rsid w:val="00402712"/>
    <w:rsid w:val="0040271F"/>
    <w:rsid w:val="004057B9"/>
    <w:rsid w:val="00410371"/>
    <w:rsid w:val="0041124E"/>
    <w:rsid w:val="00412DF8"/>
    <w:rsid w:val="00413833"/>
    <w:rsid w:val="00414140"/>
    <w:rsid w:val="00414B74"/>
    <w:rsid w:val="00416283"/>
    <w:rsid w:val="004211FD"/>
    <w:rsid w:val="00421FAB"/>
    <w:rsid w:val="004230D2"/>
    <w:rsid w:val="004242F1"/>
    <w:rsid w:val="004245AF"/>
    <w:rsid w:val="00425EAD"/>
    <w:rsid w:val="004270B5"/>
    <w:rsid w:val="004304E1"/>
    <w:rsid w:val="00430E20"/>
    <w:rsid w:val="004341A2"/>
    <w:rsid w:val="00435079"/>
    <w:rsid w:val="00435CB6"/>
    <w:rsid w:val="004368E6"/>
    <w:rsid w:val="004373DA"/>
    <w:rsid w:val="004379B1"/>
    <w:rsid w:val="00441E3C"/>
    <w:rsid w:val="00443B89"/>
    <w:rsid w:val="00444B1B"/>
    <w:rsid w:val="00447581"/>
    <w:rsid w:val="00465201"/>
    <w:rsid w:val="00481E97"/>
    <w:rsid w:val="004858A8"/>
    <w:rsid w:val="00491D07"/>
    <w:rsid w:val="004A60A8"/>
    <w:rsid w:val="004B02C5"/>
    <w:rsid w:val="004B75B7"/>
    <w:rsid w:val="004C1B03"/>
    <w:rsid w:val="004C4118"/>
    <w:rsid w:val="004C59C8"/>
    <w:rsid w:val="004C600D"/>
    <w:rsid w:val="004D4E88"/>
    <w:rsid w:val="004E252F"/>
    <w:rsid w:val="004E2B1E"/>
    <w:rsid w:val="004F2818"/>
    <w:rsid w:val="004F3512"/>
    <w:rsid w:val="004F68E7"/>
    <w:rsid w:val="005056FC"/>
    <w:rsid w:val="005078E1"/>
    <w:rsid w:val="0051580D"/>
    <w:rsid w:val="00517BD7"/>
    <w:rsid w:val="00525817"/>
    <w:rsid w:val="00525CB1"/>
    <w:rsid w:val="0053042C"/>
    <w:rsid w:val="00533144"/>
    <w:rsid w:val="00536BB2"/>
    <w:rsid w:val="00541DAF"/>
    <w:rsid w:val="005437A0"/>
    <w:rsid w:val="005440BD"/>
    <w:rsid w:val="00547111"/>
    <w:rsid w:val="00550799"/>
    <w:rsid w:val="00551BA8"/>
    <w:rsid w:val="00555F35"/>
    <w:rsid w:val="0055723B"/>
    <w:rsid w:val="005643E8"/>
    <w:rsid w:val="005705DA"/>
    <w:rsid w:val="00572560"/>
    <w:rsid w:val="0057610B"/>
    <w:rsid w:val="00585A3E"/>
    <w:rsid w:val="00592CEC"/>
    <w:rsid w:val="00592D74"/>
    <w:rsid w:val="005959F0"/>
    <w:rsid w:val="00596BAC"/>
    <w:rsid w:val="005A20B6"/>
    <w:rsid w:val="005A7B24"/>
    <w:rsid w:val="005B0251"/>
    <w:rsid w:val="005B0610"/>
    <w:rsid w:val="005B42C7"/>
    <w:rsid w:val="005B4333"/>
    <w:rsid w:val="005B7100"/>
    <w:rsid w:val="005C2312"/>
    <w:rsid w:val="005C49EE"/>
    <w:rsid w:val="005D24C7"/>
    <w:rsid w:val="005E06BF"/>
    <w:rsid w:val="005E2C44"/>
    <w:rsid w:val="005E482F"/>
    <w:rsid w:val="005E667A"/>
    <w:rsid w:val="005E7FAD"/>
    <w:rsid w:val="005F0429"/>
    <w:rsid w:val="005F04EC"/>
    <w:rsid w:val="005F0CA7"/>
    <w:rsid w:val="005F103C"/>
    <w:rsid w:val="005F1CCB"/>
    <w:rsid w:val="005F2A1C"/>
    <w:rsid w:val="005F62B1"/>
    <w:rsid w:val="00601132"/>
    <w:rsid w:val="0060369A"/>
    <w:rsid w:val="00603BA1"/>
    <w:rsid w:val="00605771"/>
    <w:rsid w:val="00606BD0"/>
    <w:rsid w:val="0060736A"/>
    <w:rsid w:val="006078D0"/>
    <w:rsid w:val="006153C3"/>
    <w:rsid w:val="006201CC"/>
    <w:rsid w:val="00621188"/>
    <w:rsid w:val="0062358A"/>
    <w:rsid w:val="0062554B"/>
    <w:rsid w:val="006257ED"/>
    <w:rsid w:val="0063038A"/>
    <w:rsid w:val="00634754"/>
    <w:rsid w:val="006353F1"/>
    <w:rsid w:val="00636F8A"/>
    <w:rsid w:val="006413EC"/>
    <w:rsid w:val="0064269F"/>
    <w:rsid w:val="00643109"/>
    <w:rsid w:val="00645FAF"/>
    <w:rsid w:val="0064762A"/>
    <w:rsid w:val="00653802"/>
    <w:rsid w:val="006545EC"/>
    <w:rsid w:val="00664B01"/>
    <w:rsid w:val="0067106D"/>
    <w:rsid w:val="0067353C"/>
    <w:rsid w:val="006735C8"/>
    <w:rsid w:val="006812C0"/>
    <w:rsid w:val="00686582"/>
    <w:rsid w:val="00686AA4"/>
    <w:rsid w:val="00692C93"/>
    <w:rsid w:val="00695808"/>
    <w:rsid w:val="00695F30"/>
    <w:rsid w:val="0069633D"/>
    <w:rsid w:val="006A01EA"/>
    <w:rsid w:val="006A11F8"/>
    <w:rsid w:val="006A1AFC"/>
    <w:rsid w:val="006A26B6"/>
    <w:rsid w:val="006A35ED"/>
    <w:rsid w:val="006A5795"/>
    <w:rsid w:val="006A5B96"/>
    <w:rsid w:val="006A65AA"/>
    <w:rsid w:val="006A66A0"/>
    <w:rsid w:val="006B1C5E"/>
    <w:rsid w:val="006B46FB"/>
    <w:rsid w:val="006B5A6A"/>
    <w:rsid w:val="006B6921"/>
    <w:rsid w:val="006C03D5"/>
    <w:rsid w:val="006C224B"/>
    <w:rsid w:val="006C3071"/>
    <w:rsid w:val="006C5D8A"/>
    <w:rsid w:val="006C6E86"/>
    <w:rsid w:val="006D380E"/>
    <w:rsid w:val="006D493E"/>
    <w:rsid w:val="006D7339"/>
    <w:rsid w:val="006D7AE2"/>
    <w:rsid w:val="006E0C9D"/>
    <w:rsid w:val="006E181F"/>
    <w:rsid w:val="006E21FB"/>
    <w:rsid w:val="0070693A"/>
    <w:rsid w:val="00716B26"/>
    <w:rsid w:val="00717F5D"/>
    <w:rsid w:val="00721E0F"/>
    <w:rsid w:val="00724A8F"/>
    <w:rsid w:val="00726B84"/>
    <w:rsid w:val="007301FE"/>
    <w:rsid w:val="007335B0"/>
    <w:rsid w:val="00737FF2"/>
    <w:rsid w:val="00741BD1"/>
    <w:rsid w:val="00743E35"/>
    <w:rsid w:val="007461DE"/>
    <w:rsid w:val="00750495"/>
    <w:rsid w:val="00757B22"/>
    <w:rsid w:val="0076083D"/>
    <w:rsid w:val="00766285"/>
    <w:rsid w:val="00774E4E"/>
    <w:rsid w:val="00775864"/>
    <w:rsid w:val="00776CC0"/>
    <w:rsid w:val="007801B4"/>
    <w:rsid w:val="00781076"/>
    <w:rsid w:val="00781AF1"/>
    <w:rsid w:val="0078277B"/>
    <w:rsid w:val="00784814"/>
    <w:rsid w:val="00785241"/>
    <w:rsid w:val="00785DA7"/>
    <w:rsid w:val="00792342"/>
    <w:rsid w:val="007977A8"/>
    <w:rsid w:val="007A6D8B"/>
    <w:rsid w:val="007B1356"/>
    <w:rsid w:val="007B3F42"/>
    <w:rsid w:val="007B4065"/>
    <w:rsid w:val="007B512A"/>
    <w:rsid w:val="007B5165"/>
    <w:rsid w:val="007C0ADD"/>
    <w:rsid w:val="007C181F"/>
    <w:rsid w:val="007C1D0A"/>
    <w:rsid w:val="007C2097"/>
    <w:rsid w:val="007D13CD"/>
    <w:rsid w:val="007D6A07"/>
    <w:rsid w:val="007F0B0E"/>
    <w:rsid w:val="007F303B"/>
    <w:rsid w:val="007F526D"/>
    <w:rsid w:val="007F7259"/>
    <w:rsid w:val="00804C5B"/>
    <w:rsid w:val="008051CC"/>
    <w:rsid w:val="00805726"/>
    <w:rsid w:val="00816999"/>
    <w:rsid w:val="008176C6"/>
    <w:rsid w:val="008223B0"/>
    <w:rsid w:val="00825517"/>
    <w:rsid w:val="00825BA3"/>
    <w:rsid w:val="00825C4F"/>
    <w:rsid w:val="00827227"/>
    <w:rsid w:val="008279FA"/>
    <w:rsid w:val="00832341"/>
    <w:rsid w:val="0083324F"/>
    <w:rsid w:val="00835F1F"/>
    <w:rsid w:val="008439DC"/>
    <w:rsid w:val="00843ADC"/>
    <w:rsid w:val="00845376"/>
    <w:rsid w:val="008454AA"/>
    <w:rsid w:val="0084606A"/>
    <w:rsid w:val="008469C4"/>
    <w:rsid w:val="008521DD"/>
    <w:rsid w:val="00852B1B"/>
    <w:rsid w:val="00852C7A"/>
    <w:rsid w:val="008540C0"/>
    <w:rsid w:val="00860582"/>
    <w:rsid w:val="00862598"/>
    <w:rsid w:val="008626E7"/>
    <w:rsid w:val="0086278A"/>
    <w:rsid w:val="00862D0B"/>
    <w:rsid w:val="00862DA8"/>
    <w:rsid w:val="0086415B"/>
    <w:rsid w:val="00865806"/>
    <w:rsid w:val="00865FFF"/>
    <w:rsid w:val="00870EE7"/>
    <w:rsid w:val="008844C7"/>
    <w:rsid w:val="00887A18"/>
    <w:rsid w:val="008911CC"/>
    <w:rsid w:val="00893657"/>
    <w:rsid w:val="008974AD"/>
    <w:rsid w:val="008A1676"/>
    <w:rsid w:val="008A2334"/>
    <w:rsid w:val="008A416E"/>
    <w:rsid w:val="008A45A6"/>
    <w:rsid w:val="008A52EA"/>
    <w:rsid w:val="008A5464"/>
    <w:rsid w:val="008A6B17"/>
    <w:rsid w:val="008B036B"/>
    <w:rsid w:val="008B27C7"/>
    <w:rsid w:val="008B29F8"/>
    <w:rsid w:val="008C1FCE"/>
    <w:rsid w:val="008C5390"/>
    <w:rsid w:val="008D5658"/>
    <w:rsid w:val="008D723F"/>
    <w:rsid w:val="008E34A8"/>
    <w:rsid w:val="008E3BA4"/>
    <w:rsid w:val="008E3E28"/>
    <w:rsid w:val="008E4652"/>
    <w:rsid w:val="008E4EA3"/>
    <w:rsid w:val="008E6BD3"/>
    <w:rsid w:val="008F3B34"/>
    <w:rsid w:val="008F6247"/>
    <w:rsid w:val="008F686C"/>
    <w:rsid w:val="00903F6C"/>
    <w:rsid w:val="00904F39"/>
    <w:rsid w:val="009055C0"/>
    <w:rsid w:val="00913DA8"/>
    <w:rsid w:val="0091488B"/>
    <w:rsid w:val="009148DE"/>
    <w:rsid w:val="00922E68"/>
    <w:rsid w:val="00924736"/>
    <w:rsid w:val="009337A5"/>
    <w:rsid w:val="00935BE1"/>
    <w:rsid w:val="0093677C"/>
    <w:rsid w:val="0094596A"/>
    <w:rsid w:val="00951426"/>
    <w:rsid w:val="009559E6"/>
    <w:rsid w:val="00956BBD"/>
    <w:rsid w:val="0096572A"/>
    <w:rsid w:val="0096696A"/>
    <w:rsid w:val="00970956"/>
    <w:rsid w:val="009777D9"/>
    <w:rsid w:val="0098766E"/>
    <w:rsid w:val="00987B72"/>
    <w:rsid w:val="00990F9F"/>
    <w:rsid w:val="00991B88"/>
    <w:rsid w:val="00992B98"/>
    <w:rsid w:val="009A5753"/>
    <w:rsid w:val="009A579D"/>
    <w:rsid w:val="009B25D2"/>
    <w:rsid w:val="009B4BA1"/>
    <w:rsid w:val="009B6E59"/>
    <w:rsid w:val="009B6EE0"/>
    <w:rsid w:val="009C04F3"/>
    <w:rsid w:val="009C1871"/>
    <w:rsid w:val="009C4581"/>
    <w:rsid w:val="009D6E64"/>
    <w:rsid w:val="009D6FAA"/>
    <w:rsid w:val="009E0AB0"/>
    <w:rsid w:val="009E1C27"/>
    <w:rsid w:val="009E3297"/>
    <w:rsid w:val="009F2E08"/>
    <w:rsid w:val="009F30D4"/>
    <w:rsid w:val="009F734F"/>
    <w:rsid w:val="00A01DBB"/>
    <w:rsid w:val="00A07EEE"/>
    <w:rsid w:val="00A10538"/>
    <w:rsid w:val="00A14E09"/>
    <w:rsid w:val="00A15142"/>
    <w:rsid w:val="00A2068D"/>
    <w:rsid w:val="00A20F1F"/>
    <w:rsid w:val="00A246B6"/>
    <w:rsid w:val="00A2474B"/>
    <w:rsid w:val="00A25B5D"/>
    <w:rsid w:val="00A33BB4"/>
    <w:rsid w:val="00A34AAD"/>
    <w:rsid w:val="00A34B5F"/>
    <w:rsid w:val="00A36D01"/>
    <w:rsid w:val="00A36ED0"/>
    <w:rsid w:val="00A41CDD"/>
    <w:rsid w:val="00A4746B"/>
    <w:rsid w:val="00A47E70"/>
    <w:rsid w:val="00A502F3"/>
    <w:rsid w:val="00A50CF0"/>
    <w:rsid w:val="00A50E7F"/>
    <w:rsid w:val="00A523EA"/>
    <w:rsid w:val="00A53D45"/>
    <w:rsid w:val="00A5418B"/>
    <w:rsid w:val="00A5547C"/>
    <w:rsid w:val="00A56F0C"/>
    <w:rsid w:val="00A6137D"/>
    <w:rsid w:val="00A708FB"/>
    <w:rsid w:val="00A72B9C"/>
    <w:rsid w:val="00A7336D"/>
    <w:rsid w:val="00A760CB"/>
    <w:rsid w:val="00A7671C"/>
    <w:rsid w:val="00A870D4"/>
    <w:rsid w:val="00A87B9D"/>
    <w:rsid w:val="00A91784"/>
    <w:rsid w:val="00A92495"/>
    <w:rsid w:val="00A9725E"/>
    <w:rsid w:val="00A972A5"/>
    <w:rsid w:val="00AA26B8"/>
    <w:rsid w:val="00AA2CBC"/>
    <w:rsid w:val="00AA3433"/>
    <w:rsid w:val="00AA3867"/>
    <w:rsid w:val="00AA54A0"/>
    <w:rsid w:val="00AA787C"/>
    <w:rsid w:val="00AB126E"/>
    <w:rsid w:val="00AB150A"/>
    <w:rsid w:val="00AB3E2A"/>
    <w:rsid w:val="00AB4209"/>
    <w:rsid w:val="00AC128D"/>
    <w:rsid w:val="00AC1364"/>
    <w:rsid w:val="00AC4EA0"/>
    <w:rsid w:val="00AC5820"/>
    <w:rsid w:val="00AD1CD8"/>
    <w:rsid w:val="00AD20BD"/>
    <w:rsid w:val="00AE190D"/>
    <w:rsid w:val="00AE4F17"/>
    <w:rsid w:val="00AF1F15"/>
    <w:rsid w:val="00AF29FF"/>
    <w:rsid w:val="00AF2EF1"/>
    <w:rsid w:val="00AF3484"/>
    <w:rsid w:val="00AF41F2"/>
    <w:rsid w:val="00AF4730"/>
    <w:rsid w:val="00B02B6C"/>
    <w:rsid w:val="00B03B8D"/>
    <w:rsid w:val="00B04A9F"/>
    <w:rsid w:val="00B04E22"/>
    <w:rsid w:val="00B06328"/>
    <w:rsid w:val="00B06A11"/>
    <w:rsid w:val="00B07E2E"/>
    <w:rsid w:val="00B10581"/>
    <w:rsid w:val="00B10BAE"/>
    <w:rsid w:val="00B14FDA"/>
    <w:rsid w:val="00B15F17"/>
    <w:rsid w:val="00B171C4"/>
    <w:rsid w:val="00B213C0"/>
    <w:rsid w:val="00B21514"/>
    <w:rsid w:val="00B2356A"/>
    <w:rsid w:val="00B24667"/>
    <w:rsid w:val="00B258BB"/>
    <w:rsid w:val="00B30B3B"/>
    <w:rsid w:val="00B33B42"/>
    <w:rsid w:val="00B413D1"/>
    <w:rsid w:val="00B41D79"/>
    <w:rsid w:val="00B43E29"/>
    <w:rsid w:val="00B45578"/>
    <w:rsid w:val="00B473F5"/>
    <w:rsid w:val="00B5134A"/>
    <w:rsid w:val="00B535C9"/>
    <w:rsid w:val="00B53BEB"/>
    <w:rsid w:val="00B57294"/>
    <w:rsid w:val="00B64EEC"/>
    <w:rsid w:val="00B67B97"/>
    <w:rsid w:val="00B7380B"/>
    <w:rsid w:val="00B7525D"/>
    <w:rsid w:val="00B75541"/>
    <w:rsid w:val="00B764FF"/>
    <w:rsid w:val="00B7779F"/>
    <w:rsid w:val="00B840AB"/>
    <w:rsid w:val="00B905EE"/>
    <w:rsid w:val="00B92D47"/>
    <w:rsid w:val="00B968C8"/>
    <w:rsid w:val="00BA11C4"/>
    <w:rsid w:val="00BA1A22"/>
    <w:rsid w:val="00BA3EC5"/>
    <w:rsid w:val="00BA4452"/>
    <w:rsid w:val="00BA51D9"/>
    <w:rsid w:val="00BB1DFF"/>
    <w:rsid w:val="00BB394C"/>
    <w:rsid w:val="00BB3C76"/>
    <w:rsid w:val="00BB5DFC"/>
    <w:rsid w:val="00BC3BEB"/>
    <w:rsid w:val="00BC3DB3"/>
    <w:rsid w:val="00BC457E"/>
    <w:rsid w:val="00BC7F0B"/>
    <w:rsid w:val="00BD0C3B"/>
    <w:rsid w:val="00BD279D"/>
    <w:rsid w:val="00BD3C30"/>
    <w:rsid w:val="00BD5D9D"/>
    <w:rsid w:val="00BD6BB8"/>
    <w:rsid w:val="00BE1813"/>
    <w:rsid w:val="00BE4D11"/>
    <w:rsid w:val="00BE6097"/>
    <w:rsid w:val="00BE7C4C"/>
    <w:rsid w:val="00BF356F"/>
    <w:rsid w:val="00BF4C34"/>
    <w:rsid w:val="00BF51A3"/>
    <w:rsid w:val="00BF7D67"/>
    <w:rsid w:val="00C0260C"/>
    <w:rsid w:val="00C03BD1"/>
    <w:rsid w:val="00C13CF9"/>
    <w:rsid w:val="00C2208E"/>
    <w:rsid w:val="00C22695"/>
    <w:rsid w:val="00C260F8"/>
    <w:rsid w:val="00C27AA6"/>
    <w:rsid w:val="00C30073"/>
    <w:rsid w:val="00C34D60"/>
    <w:rsid w:val="00C36713"/>
    <w:rsid w:val="00C41951"/>
    <w:rsid w:val="00C47BB4"/>
    <w:rsid w:val="00C53F2C"/>
    <w:rsid w:val="00C54204"/>
    <w:rsid w:val="00C5580A"/>
    <w:rsid w:val="00C575B6"/>
    <w:rsid w:val="00C6345E"/>
    <w:rsid w:val="00C64083"/>
    <w:rsid w:val="00C66BA2"/>
    <w:rsid w:val="00C72B60"/>
    <w:rsid w:val="00C77A81"/>
    <w:rsid w:val="00C8343E"/>
    <w:rsid w:val="00C87335"/>
    <w:rsid w:val="00C905AB"/>
    <w:rsid w:val="00C93053"/>
    <w:rsid w:val="00C94294"/>
    <w:rsid w:val="00C95985"/>
    <w:rsid w:val="00CA7B39"/>
    <w:rsid w:val="00CB05F8"/>
    <w:rsid w:val="00CB27B3"/>
    <w:rsid w:val="00CC1983"/>
    <w:rsid w:val="00CC5026"/>
    <w:rsid w:val="00CD12ED"/>
    <w:rsid w:val="00CD1568"/>
    <w:rsid w:val="00CD2964"/>
    <w:rsid w:val="00CD705E"/>
    <w:rsid w:val="00CE1CDF"/>
    <w:rsid w:val="00CE378D"/>
    <w:rsid w:val="00CF0BE9"/>
    <w:rsid w:val="00CF2183"/>
    <w:rsid w:val="00CF21C8"/>
    <w:rsid w:val="00CF32C0"/>
    <w:rsid w:val="00CF370F"/>
    <w:rsid w:val="00CF3750"/>
    <w:rsid w:val="00CF4280"/>
    <w:rsid w:val="00CF5299"/>
    <w:rsid w:val="00CF629F"/>
    <w:rsid w:val="00CF72F6"/>
    <w:rsid w:val="00D03F9A"/>
    <w:rsid w:val="00D06D51"/>
    <w:rsid w:val="00D10AF2"/>
    <w:rsid w:val="00D14396"/>
    <w:rsid w:val="00D16925"/>
    <w:rsid w:val="00D1756D"/>
    <w:rsid w:val="00D24991"/>
    <w:rsid w:val="00D26FA1"/>
    <w:rsid w:val="00D3028B"/>
    <w:rsid w:val="00D3357E"/>
    <w:rsid w:val="00D342CF"/>
    <w:rsid w:val="00D356B9"/>
    <w:rsid w:val="00D4146C"/>
    <w:rsid w:val="00D41DC4"/>
    <w:rsid w:val="00D43103"/>
    <w:rsid w:val="00D50255"/>
    <w:rsid w:val="00D557EA"/>
    <w:rsid w:val="00D56DC4"/>
    <w:rsid w:val="00D57C81"/>
    <w:rsid w:val="00D6331C"/>
    <w:rsid w:val="00D646D4"/>
    <w:rsid w:val="00D649D1"/>
    <w:rsid w:val="00D65600"/>
    <w:rsid w:val="00D65971"/>
    <w:rsid w:val="00D70381"/>
    <w:rsid w:val="00D77187"/>
    <w:rsid w:val="00D85773"/>
    <w:rsid w:val="00D90A1E"/>
    <w:rsid w:val="00D91B27"/>
    <w:rsid w:val="00D93BDD"/>
    <w:rsid w:val="00D942B0"/>
    <w:rsid w:val="00D945D5"/>
    <w:rsid w:val="00D97AF8"/>
    <w:rsid w:val="00D97E38"/>
    <w:rsid w:val="00DA01BB"/>
    <w:rsid w:val="00DA64B1"/>
    <w:rsid w:val="00DB4CA5"/>
    <w:rsid w:val="00DC0E6F"/>
    <w:rsid w:val="00DC6202"/>
    <w:rsid w:val="00DD2131"/>
    <w:rsid w:val="00DD40FC"/>
    <w:rsid w:val="00DD4D62"/>
    <w:rsid w:val="00DE34CF"/>
    <w:rsid w:val="00DE7389"/>
    <w:rsid w:val="00DF2050"/>
    <w:rsid w:val="00E0279C"/>
    <w:rsid w:val="00E02DEA"/>
    <w:rsid w:val="00E04D79"/>
    <w:rsid w:val="00E102A3"/>
    <w:rsid w:val="00E10B2F"/>
    <w:rsid w:val="00E139FD"/>
    <w:rsid w:val="00E13CFD"/>
    <w:rsid w:val="00E13F3D"/>
    <w:rsid w:val="00E157DD"/>
    <w:rsid w:val="00E27583"/>
    <w:rsid w:val="00E32A81"/>
    <w:rsid w:val="00E33C01"/>
    <w:rsid w:val="00E36629"/>
    <w:rsid w:val="00E42646"/>
    <w:rsid w:val="00E428BB"/>
    <w:rsid w:val="00E43B3D"/>
    <w:rsid w:val="00E43B94"/>
    <w:rsid w:val="00E43E94"/>
    <w:rsid w:val="00E43EB1"/>
    <w:rsid w:val="00E46A99"/>
    <w:rsid w:val="00E57B53"/>
    <w:rsid w:val="00E61FC1"/>
    <w:rsid w:val="00E62D80"/>
    <w:rsid w:val="00E63E32"/>
    <w:rsid w:val="00E66BFA"/>
    <w:rsid w:val="00E679C0"/>
    <w:rsid w:val="00E77CEF"/>
    <w:rsid w:val="00E8165A"/>
    <w:rsid w:val="00E82C54"/>
    <w:rsid w:val="00E86F63"/>
    <w:rsid w:val="00E87CC8"/>
    <w:rsid w:val="00E973D3"/>
    <w:rsid w:val="00EA0B6A"/>
    <w:rsid w:val="00EB179D"/>
    <w:rsid w:val="00EB4848"/>
    <w:rsid w:val="00EC0569"/>
    <w:rsid w:val="00EC28F4"/>
    <w:rsid w:val="00EC2FA9"/>
    <w:rsid w:val="00EC3D16"/>
    <w:rsid w:val="00EC3FA6"/>
    <w:rsid w:val="00EC53DF"/>
    <w:rsid w:val="00EE0A91"/>
    <w:rsid w:val="00EE0F0E"/>
    <w:rsid w:val="00EE1025"/>
    <w:rsid w:val="00EE178E"/>
    <w:rsid w:val="00EE24B6"/>
    <w:rsid w:val="00EE4776"/>
    <w:rsid w:val="00EE4A89"/>
    <w:rsid w:val="00EE7D7C"/>
    <w:rsid w:val="00EF3416"/>
    <w:rsid w:val="00EF53C8"/>
    <w:rsid w:val="00F00BCE"/>
    <w:rsid w:val="00F035F8"/>
    <w:rsid w:val="00F10893"/>
    <w:rsid w:val="00F13244"/>
    <w:rsid w:val="00F1734B"/>
    <w:rsid w:val="00F25A63"/>
    <w:rsid w:val="00F25D98"/>
    <w:rsid w:val="00F26943"/>
    <w:rsid w:val="00F300FB"/>
    <w:rsid w:val="00F40A79"/>
    <w:rsid w:val="00F4316D"/>
    <w:rsid w:val="00F43DB7"/>
    <w:rsid w:val="00F45D1E"/>
    <w:rsid w:val="00F5181B"/>
    <w:rsid w:val="00F537AC"/>
    <w:rsid w:val="00F57663"/>
    <w:rsid w:val="00F66582"/>
    <w:rsid w:val="00F67A9E"/>
    <w:rsid w:val="00F708A3"/>
    <w:rsid w:val="00F708BD"/>
    <w:rsid w:val="00F70EBF"/>
    <w:rsid w:val="00F722BC"/>
    <w:rsid w:val="00F725A3"/>
    <w:rsid w:val="00F726E1"/>
    <w:rsid w:val="00F74BA7"/>
    <w:rsid w:val="00F83A93"/>
    <w:rsid w:val="00F84A5C"/>
    <w:rsid w:val="00F84B1A"/>
    <w:rsid w:val="00F86728"/>
    <w:rsid w:val="00F901E0"/>
    <w:rsid w:val="00F90FA7"/>
    <w:rsid w:val="00F9576C"/>
    <w:rsid w:val="00F9586A"/>
    <w:rsid w:val="00F965C9"/>
    <w:rsid w:val="00F97ECE"/>
    <w:rsid w:val="00FA0A06"/>
    <w:rsid w:val="00FA0D50"/>
    <w:rsid w:val="00FA120B"/>
    <w:rsid w:val="00FA2868"/>
    <w:rsid w:val="00FA4849"/>
    <w:rsid w:val="00FA604D"/>
    <w:rsid w:val="00FB1BB2"/>
    <w:rsid w:val="00FB1C2B"/>
    <w:rsid w:val="00FB5E98"/>
    <w:rsid w:val="00FB6386"/>
    <w:rsid w:val="00FC14FC"/>
    <w:rsid w:val="00FC305B"/>
    <w:rsid w:val="00FC5987"/>
    <w:rsid w:val="00FC78CF"/>
    <w:rsid w:val="00FC78FC"/>
    <w:rsid w:val="00FD3872"/>
    <w:rsid w:val="00FD4401"/>
    <w:rsid w:val="00FE11DD"/>
    <w:rsid w:val="00FE22AA"/>
    <w:rsid w:val="00FF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A0A913"/>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119"/>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题注"/>
    <w:basedOn w:val="Normal"/>
    <w:next w:val="Normal"/>
    <w:link w:val="CaptionChar1"/>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link w:val="ListParagraphChar"/>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 w:type="paragraph" w:styleId="NoSpacing">
    <w:name w:val="No Spacing"/>
    <w:uiPriority w:val="1"/>
    <w:qFormat/>
    <w:rsid w:val="00572560"/>
    <w:rPr>
      <w:rFonts w:ascii="Times New Roman" w:hAnsi="Times New Roman"/>
      <w:lang w:val="en-GB" w:eastAsia="en-US"/>
    </w:rPr>
  </w:style>
  <w:style w:type="character" w:customStyle="1" w:styleId="ListParagraphChar">
    <w:name w:val="List Paragraph Char"/>
    <w:link w:val="ListParagraph"/>
    <w:uiPriority w:val="34"/>
    <w:rsid w:val="00D26FA1"/>
    <w:rPr>
      <w:rFonts w:ascii="Calibri" w:eastAsia="Calibri" w:hAnsi="Calibr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D26FA1"/>
    <w:rPr>
      <w:rFonts w:ascii="Times New Roman" w:hAnsi="Times New Roman"/>
      <w:b/>
      <w:lang w:val="en-GB" w:eastAsia="en-GB"/>
    </w:rPr>
  </w:style>
  <w:style w:type="character" w:customStyle="1" w:styleId="TAHChar">
    <w:name w:val="TAH Char"/>
    <w:rsid w:val="00C5580A"/>
    <w:rPr>
      <w:rFonts w:ascii="Arial" w:hAnsi="Arial"/>
      <w:b/>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274530940">
      <w:bodyDiv w:val="1"/>
      <w:marLeft w:val="0"/>
      <w:marRight w:val="0"/>
      <w:marTop w:val="0"/>
      <w:marBottom w:val="0"/>
      <w:divBdr>
        <w:top w:val="none" w:sz="0" w:space="0" w:color="auto"/>
        <w:left w:val="none" w:sz="0" w:space="0" w:color="auto"/>
        <w:bottom w:val="none" w:sz="0" w:space="0" w:color="auto"/>
        <w:right w:val="none" w:sz="0" w:space="0" w:color="auto"/>
      </w:divBdr>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5AIRPNAIUNRU-1830940522-4394</_dlc_DocId>
    <_dlc_DocIdUrl xmlns="71c5aaf6-e6ce-465b-b873-5148d2a4c105">
      <Url>https://nokia.sharepoint.com/sites/c5g/5gradio/_layouts/15/DocIdRedir.aspx?ID=5AIRPNAIUNRU-1830940522-4394</Url>
      <Description>5AIRPNAIUNRU-1830940522-4394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2.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3.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4.xml><?xml version="1.0" encoding="utf-8"?>
<ds:datastoreItem xmlns:ds="http://schemas.openxmlformats.org/officeDocument/2006/customXml" ds:itemID="{AD7E56B4-9CBB-4FF2-99A3-BBF8E21E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B5FF53-0B99-4AD7-B136-E3E547536BC2}">
  <ds:schemaRefs>
    <ds:schemaRef ds:uri="http://purl.org/dc/elements/1.1/"/>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094C3E8-9495-4AB1-A2E5-7297C052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Jayasinghe, Keeth (Nokia - FI/Espoo)</cp:lastModifiedBy>
  <cp:revision>2</cp:revision>
  <cp:lastPrinted>2018-05-11T06:32:00Z</cp:lastPrinted>
  <dcterms:created xsi:type="dcterms:W3CDTF">2018-11-02T20:25:00Z</dcterms:created>
  <dcterms:modified xsi:type="dcterms:W3CDTF">2018-11-02T20:25:00Z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0x010100F72F5225BF40E546BD513D0BB4BDDD33</vt:lpwstr>
  </property>
  <property fmtid="{D5CDD505-2E9C-101B-9397-08002B2CF9AE}" pid="37" name="_dlc_DocIdItemGuid">
    <vt:lpwstr>c7cc1c5e-0ea1-46a0-9271-258ab2337682</vt:lpwstr>
  </property>
</Properties>
</file>